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77" w:type="dxa"/>
        <w:jc w:val="center"/>
        <w:tblLook w:val="0000" w:firstRow="0" w:lastRow="0" w:firstColumn="0" w:lastColumn="0" w:noHBand="0" w:noVBand="0"/>
      </w:tblPr>
      <w:tblGrid>
        <w:gridCol w:w="4444"/>
        <w:gridCol w:w="5433"/>
      </w:tblGrid>
      <w:tr w:rsidR="008B36B4" w:rsidRPr="00286A3E" w14:paraId="092E1CAA" w14:textId="77777777" w:rsidTr="002B19E0">
        <w:trPr>
          <w:jc w:val="center"/>
        </w:trPr>
        <w:tc>
          <w:tcPr>
            <w:tcW w:w="4444" w:type="dxa"/>
          </w:tcPr>
          <w:p w14:paraId="3ECB18E3" w14:textId="77777777" w:rsidR="008B36B4" w:rsidRPr="00286A3E" w:rsidRDefault="008B36B4" w:rsidP="002B19E0">
            <w:pPr>
              <w:jc w:val="center"/>
              <w:rPr>
                <w:sz w:val="26"/>
                <w:szCs w:val="26"/>
              </w:rPr>
            </w:pPr>
            <w:r w:rsidRPr="00286A3E">
              <w:rPr>
                <w:sz w:val="26"/>
                <w:szCs w:val="26"/>
              </w:rPr>
              <w:t>UBND TỈNH THÁI NGUYÊN</w:t>
            </w:r>
          </w:p>
          <w:p w14:paraId="1086999B" w14:textId="77777777" w:rsidR="008B36B4" w:rsidRDefault="008B36B4" w:rsidP="002B19E0">
            <w:pPr>
              <w:jc w:val="center"/>
              <w:rPr>
                <w:b/>
                <w:spacing w:val="-14"/>
                <w:sz w:val="26"/>
                <w:szCs w:val="26"/>
              </w:rPr>
            </w:pPr>
            <w:r w:rsidRPr="00286A3E">
              <w:rPr>
                <w:b/>
                <w:spacing w:val="-14"/>
                <w:sz w:val="26"/>
                <w:szCs w:val="26"/>
              </w:rPr>
              <w:t>SỞ NÔNG NGHIỆP VÀ MÔI TRƯỜNG</w:t>
            </w:r>
          </w:p>
          <w:p w14:paraId="6E968F6F" w14:textId="2E1D6E98" w:rsidR="004E262B" w:rsidRDefault="004E262B" w:rsidP="002B19E0">
            <w:pPr>
              <w:jc w:val="center"/>
              <w:rPr>
                <w:b/>
                <w:spacing w:val="-14"/>
                <w:sz w:val="26"/>
                <w:szCs w:val="26"/>
              </w:rPr>
            </w:pPr>
            <w:r>
              <w:rPr>
                <w:noProof/>
                <w:lang w:val="vi-VN" w:eastAsia="vi-VN"/>
              </w:rPr>
              <mc:AlternateContent>
                <mc:Choice Requires="wps">
                  <w:drawing>
                    <wp:anchor distT="4294967295" distB="4294967295" distL="114300" distR="114300" simplePos="0" relativeHeight="251659264" behindDoc="0" locked="0" layoutInCell="1" allowOverlap="1" wp14:anchorId="0A00085A" wp14:editId="42A52735">
                      <wp:simplePos x="0" y="0"/>
                      <wp:positionH relativeFrom="column">
                        <wp:posOffset>904875</wp:posOffset>
                      </wp:positionH>
                      <wp:positionV relativeFrom="paragraph">
                        <wp:posOffset>29845</wp:posOffset>
                      </wp:positionV>
                      <wp:extent cx="752475" cy="0"/>
                      <wp:effectExtent l="0" t="0" r="952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A9CE9FF" id="_x0000_t32" coordsize="21600,21600" o:spt="32" o:oned="t" path="m,l21600,21600e" filled="f">
                      <v:path arrowok="t" fillok="f" o:connecttype="none"/>
                      <o:lock v:ext="edit" shapetype="t"/>
                    </v:shapetype>
                    <v:shape id="Straight Arrow Connector 12" o:spid="_x0000_s1026" type="#_x0000_t32" style="position:absolute;margin-left:71.25pt;margin-top:2.35pt;width:59.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"/>
                  </w:pict>
                </mc:Fallback>
              </mc:AlternateContent>
            </w:r>
          </w:p>
          <w:p w14:paraId="4AC4594E" w14:textId="77777777" w:rsidR="008B36B4" w:rsidRPr="00286A3E" w:rsidRDefault="008B36B4" w:rsidP="005D5809">
            <w:pPr>
              <w:jc w:val="center"/>
            </w:pPr>
          </w:p>
        </w:tc>
        <w:tc>
          <w:tcPr>
            <w:tcW w:w="5433" w:type="dxa"/>
          </w:tcPr>
          <w:p w14:paraId="69A2E40B" w14:textId="77777777" w:rsidR="008B36B4" w:rsidRPr="00286A3E" w:rsidRDefault="008B36B4" w:rsidP="002B19E0">
            <w:pPr>
              <w:pStyle w:val="Thnvnban2"/>
              <w:jc w:val="center"/>
              <w:rPr>
                <w:rFonts w:ascii="Times New Roman" w:hAnsi="Times New Roman"/>
                <w:b/>
                <w:color w:val="auto"/>
                <w:spacing w:val="-16"/>
                <w:sz w:val="26"/>
                <w:szCs w:val="26"/>
              </w:rPr>
            </w:pPr>
            <w:r w:rsidRPr="00286A3E">
              <w:rPr>
                <w:rFonts w:ascii="Times New Roman" w:hAnsi="Times New Roman"/>
                <w:b/>
                <w:color w:val="auto"/>
                <w:spacing w:val="-16"/>
                <w:sz w:val="26"/>
                <w:szCs w:val="26"/>
              </w:rPr>
              <w:t>CỘNG HOÀ XÃ HỘI CHỦ NGHĨA VIỆT NAM</w:t>
            </w:r>
          </w:p>
          <w:p w14:paraId="29136A9D" w14:textId="77777777" w:rsidR="008B36B4" w:rsidRPr="009078A1" w:rsidRDefault="008B36B4" w:rsidP="002B19E0">
            <w:pPr>
              <w:jc w:val="center"/>
              <w:rPr>
                <w:b/>
                <w:sz w:val="28"/>
                <w:szCs w:val="28"/>
              </w:rPr>
            </w:pPr>
            <w:r w:rsidRPr="009078A1">
              <w:rPr>
                <w:b/>
                <w:sz w:val="28"/>
                <w:szCs w:val="28"/>
              </w:rPr>
              <w:t>Độc lập - Tự do - Hạnh phúc</w:t>
            </w:r>
          </w:p>
          <w:p w14:paraId="68EDE319" w14:textId="3CDEC2BB" w:rsidR="008B36B4" w:rsidRPr="00012714" w:rsidRDefault="008B36B4" w:rsidP="002E0DE0">
            <w:pPr>
              <w:spacing w:before="120"/>
              <w:jc w:val="center"/>
              <w:rPr>
                <w:i/>
                <w:sz w:val="28"/>
                <w:szCs w:val="28"/>
              </w:rPr>
            </w:pPr>
            <w:r w:rsidRPr="00012714">
              <w:rPr>
                <w:b/>
                <w:noProof/>
                <w:spacing w:val="-8"/>
                <w:sz w:val="28"/>
                <w:szCs w:val="28"/>
                <w:lang w:val="vi-VN" w:eastAsia="vi-VN"/>
              </w:rPr>
              <mc:AlternateContent>
                <mc:Choice Requires="wps">
                  <w:drawing>
                    <wp:anchor distT="0" distB="0" distL="114300" distR="114300" simplePos="0" relativeHeight="251661312" behindDoc="0" locked="0" layoutInCell="1" allowOverlap="1" wp14:anchorId="3106863E" wp14:editId="6258B43D">
                      <wp:simplePos x="0" y="0"/>
                      <wp:positionH relativeFrom="column">
                        <wp:posOffset>593725</wp:posOffset>
                      </wp:positionH>
                      <wp:positionV relativeFrom="paragraph">
                        <wp:posOffset>20320</wp:posOffset>
                      </wp:positionV>
                      <wp:extent cx="212407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280258B" id="Straight Arrow Connector 4" o:spid="_x0000_s1026" type="#_x0000_t32" style="position:absolute;margin-left:46.75pt;margin-top:1.6pt;width:167.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"/>
                  </w:pict>
                </mc:Fallback>
              </mc:AlternateContent>
            </w:r>
            <w:bookmarkStart w:id="0" w:name="_GoBack"/>
            <w:bookmarkEnd w:id="0"/>
          </w:p>
        </w:tc>
      </w:tr>
    </w:tbl>
    <w:p w14:paraId="44969A95" w14:textId="77777777" w:rsidR="008B36B4" w:rsidRDefault="008B36B4" w:rsidP="00B93308">
      <w:pPr>
        <w:jc w:val="center"/>
        <w:rPr>
          <w:b/>
          <w:sz w:val="28"/>
          <w:szCs w:val="28"/>
        </w:rPr>
      </w:pPr>
    </w:p>
    <w:p w14:paraId="60B52DAE" w14:textId="77777777" w:rsidR="00B93308" w:rsidRPr="00DA558A" w:rsidRDefault="00B93308" w:rsidP="007F1F39">
      <w:pPr>
        <w:jc w:val="center"/>
        <w:rPr>
          <w:b/>
          <w:sz w:val="28"/>
          <w:szCs w:val="28"/>
        </w:rPr>
      </w:pPr>
      <w:r w:rsidRPr="00DA558A">
        <w:rPr>
          <w:b/>
          <w:sz w:val="28"/>
          <w:szCs w:val="28"/>
        </w:rPr>
        <w:t>BÁO CÁO</w:t>
      </w:r>
    </w:p>
    <w:p w14:paraId="21A6471A" w14:textId="77777777" w:rsidR="009744FB" w:rsidRPr="002E0DE0" w:rsidRDefault="002E0DE0" w:rsidP="007F1F39">
      <w:pPr>
        <w:widowControl w:val="0"/>
        <w:ind w:firstLine="567"/>
        <w:jc w:val="center"/>
        <w:rPr>
          <w:b/>
          <w:sz w:val="28"/>
          <w:szCs w:val="28"/>
        </w:rPr>
      </w:pPr>
      <w:r w:rsidRPr="002E0DE0">
        <w:rPr>
          <w:b/>
          <w:sz w:val="28"/>
          <w:szCs w:val="28"/>
        </w:rPr>
        <w:t xml:space="preserve">Tổng kết đánh giá việc thực hiện quy định về mật độ chăn nuôi trên địa bàn tỉnh Thái Nguyên giai đoạn </w:t>
      </w:r>
      <w:r w:rsidRPr="00501619">
        <w:rPr>
          <w:b/>
          <w:sz w:val="28"/>
          <w:szCs w:val="28"/>
        </w:rPr>
        <w:t>202</w:t>
      </w:r>
      <w:r w:rsidR="002E53A9" w:rsidRPr="00501619">
        <w:rPr>
          <w:b/>
          <w:sz w:val="28"/>
          <w:szCs w:val="28"/>
        </w:rPr>
        <w:t>1</w:t>
      </w:r>
      <w:r w:rsidRPr="00501619">
        <w:rPr>
          <w:b/>
          <w:sz w:val="28"/>
          <w:szCs w:val="28"/>
        </w:rPr>
        <w:t>-2025</w:t>
      </w:r>
    </w:p>
    <w:p w14:paraId="2E4A630E" w14:textId="3590C822" w:rsidR="00427E83" w:rsidRDefault="00427E83" w:rsidP="00427E83">
      <w:pPr>
        <w:ind w:firstLine="709"/>
      </w:pPr>
      <w:r w:rsidRPr="00DA558A">
        <w:rPr>
          <w:noProof/>
          <w:sz w:val="26"/>
          <w:szCs w:val="26"/>
          <w:lang w:val="vi-VN" w:eastAsia="vi-VN"/>
        </w:rPr>
        <mc:AlternateContent>
          <mc:Choice Requires="wps">
            <w:drawing>
              <wp:anchor distT="4294967295" distB="4294967295" distL="114300" distR="114300" simplePos="0" relativeHeight="251657216" behindDoc="0" locked="0" layoutInCell="1" allowOverlap="1" wp14:anchorId="00077F73" wp14:editId="0E5A81FE">
                <wp:simplePos x="0" y="0"/>
                <wp:positionH relativeFrom="column">
                  <wp:posOffset>2310765</wp:posOffset>
                </wp:positionH>
                <wp:positionV relativeFrom="paragraph">
                  <wp:posOffset>42545</wp:posOffset>
                </wp:positionV>
                <wp:extent cx="14763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52C868F"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1.95pt,3.35pt" to="298.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A0gHg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"/>
            </w:pict>
          </mc:Fallback>
        </mc:AlternateContent>
      </w:r>
    </w:p>
    <w:p w14:paraId="08AEA05A" w14:textId="77777777" w:rsidR="00427E83" w:rsidRPr="00427E83" w:rsidRDefault="00427E83" w:rsidP="00427E83">
      <w:pPr>
        <w:ind w:firstLine="709"/>
        <w:jc w:val="center"/>
        <w:rPr>
          <w:sz w:val="28"/>
          <w:szCs w:val="28"/>
        </w:rPr>
      </w:pPr>
      <w:r w:rsidRPr="00427E83">
        <w:rPr>
          <w:sz w:val="28"/>
          <w:szCs w:val="28"/>
        </w:rPr>
        <w:t>Kính gửi: Ủy ban nhân dân tỉnh Thái Nguyên</w:t>
      </w:r>
    </w:p>
    <w:p w14:paraId="0FA5F08E" w14:textId="7F5C386C" w:rsidR="009078A1" w:rsidRPr="009078A1" w:rsidRDefault="009078A1" w:rsidP="002E0DE0">
      <w:pPr>
        <w:widowControl w:val="0"/>
        <w:spacing w:before="120" w:after="240"/>
        <w:ind w:firstLine="567"/>
        <w:jc w:val="both"/>
        <w:rPr>
          <w:b/>
          <w:sz w:val="28"/>
          <w:szCs w:val="28"/>
        </w:rPr>
      </w:pPr>
      <w:r w:rsidRPr="009078A1">
        <w:rPr>
          <w:sz w:val="28"/>
          <w:szCs w:val="28"/>
        </w:rPr>
        <w:t>Thực hiện quy định của Luật Ban hành văn bản quy phạm pháp luật, Sở Nông nghiệp và Môi trường tổng kết đánh giá việc thực hiện các quy định về mật độ chăn nuôi trên địa bàn tỉnh. Kết quả như sau:</w:t>
      </w:r>
    </w:p>
    <w:p w14:paraId="6C0A24B1" w14:textId="77777777" w:rsidR="009078A1" w:rsidRPr="009078A1" w:rsidRDefault="009078A1" w:rsidP="009078A1">
      <w:pPr>
        <w:spacing w:after="120"/>
        <w:ind w:firstLine="720"/>
        <w:outlineLvl w:val="1"/>
        <w:rPr>
          <w:b/>
          <w:bCs/>
          <w:sz w:val="28"/>
          <w:szCs w:val="28"/>
        </w:rPr>
      </w:pPr>
      <w:r w:rsidRPr="009078A1">
        <w:rPr>
          <w:b/>
          <w:bCs/>
          <w:sz w:val="28"/>
          <w:szCs w:val="28"/>
        </w:rPr>
        <w:t>I. BỐI CẢNH THỰC HIỆN TỔNG KẾT, ĐÁNH GIÁ</w:t>
      </w:r>
    </w:p>
    <w:p w14:paraId="5C2E987B" w14:textId="77777777" w:rsidR="009078A1" w:rsidRPr="009078A1" w:rsidRDefault="009078A1" w:rsidP="009078A1">
      <w:pPr>
        <w:spacing w:after="120"/>
        <w:ind w:firstLine="720"/>
        <w:jc w:val="both"/>
        <w:rPr>
          <w:sz w:val="28"/>
          <w:szCs w:val="28"/>
        </w:rPr>
      </w:pPr>
      <w:r w:rsidRPr="009078A1">
        <w:rPr>
          <w:sz w:val="28"/>
          <w:szCs w:val="28"/>
        </w:rPr>
        <w:t>Thực hiện chủ trương sắp xếp đơn vị hành chính cấp tỉnh của Trung ương, tỉnh Thái Nguyên hiện nay được hình thành trên cơ sở sắp xếp, hợp nhất địa giới hành chính của tỉnh Thái Nguyên và tỉnh Bắc Kạn (cũ). Sau sắp xếp, tỉnh có quy mô diện tích tự nhiên lớn, điều kiện sinh thái đa dạng, tạo dư địa phát triển ngành chăn nuôi theo hướng tập trung, quy mô hàng hóa.</w:t>
      </w:r>
    </w:p>
    <w:p w14:paraId="029C7C08" w14:textId="77777777" w:rsidR="009078A1" w:rsidRPr="009078A1" w:rsidRDefault="009078A1" w:rsidP="009078A1">
      <w:pPr>
        <w:spacing w:after="120"/>
        <w:ind w:firstLine="720"/>
        <w:jc w:val="both"/>
        <w:rPr>
          <w:sz w:val="28"/>
          <w:szCs w:val="28"/>
        </w:rPr>
      </w:pPr>
      <w:r w:rsidRPr="009078A1">
        <w:rPr>
          <w:sz w:val="28"/>
          <w:szCs w:val="28"/>
        </w:rPr>
        <w:t>Trong giai đoạn 202</w:t>
      </w:r>
      <w:r w:rsidR="002E53A9">
        <w:rPr>
          <w:sz w:val="28"/>
          <w:szCs w:val="28"/>
        </w:rPr>
        <w:t>1</w:t>
      </w:r>
      <w:r w:rsidRPr="009078A1">
        <w:rPr>
          <w:sz w:val="28"/>
          <w:szCs w:val="28"/>
        </w:rPr>
        <w:t>-2025, ngành chăn nuôi trên địa bàn hai tỉnh trước sáp nhập tiếp tục duy trì tốc độ tăng trưởng ổn định; từng bước chuyển dịch từ chăn nuôi nhỏ lẻ sang chăn nuôi tập trung, an toàn sinh học và ứng dụng công nghệ cao. Tổng đàn vật nuôi chủ lực gồm lợn, gia cầm, trâu, bò tiếp tục phát triển, góp phần quan trọng trong tăng trưởng khu vực nông nghiệp và bảo đảm nguồn cung thực phẩm cho thị trường.</w:t>
      </w:r>
    </w:p>
    <w:p w14:paraId="484EEE1C" w14:textId="46791560" w:rsidR="009078A1" w:rsidRPr="009078A1" w:rsidRDefault="009078A1" w:rsidP="002E53A9">
      <w:pPr>
        <w:spacing w:before="120"/>
        <w:ind w:firstLine="567"/>
        <w:jc w:val="both"/>
        <w:rPr>
          <w:rFonts w:eastAsia="Calibri"/>
          <w:i/>
          <w:color w:val="000000"/>
          <w:sz w:val="28"/>
          <w:szCs w:val="28"/>
          <w:lang w:val="nl-NL"/>
        </w:rPr>
      </w:pPr>
      <w:r w:rsidRPr="009078A1">
        <w:rPr>
          <w:sz w:val="28"/>
          <w:szCs w:val="28"/>
        </w:rPr>
        <w:t>Đến năm 2025</w:t>
      </w:r>
      <w:r w:rsidRPr="00501619">
        <w:rPr>
          <w:sz w:val="28"/>
          <w:szCs w:val="28"/>
        </w:rPr>
        <w:t xml:space="preserve">, </w:t>
      </w:r>
      <w:r w:rsidR="001D0B37" w:rsidRPr="00501619">
        <w:rPr>
          <w:sz w:val="28"/>
          <w:szCs w:val="28"/>
        </w:rPr>
        <w:t>s</w:t>
      </w:r>
      <w:r w:rsidR="002E53A9" w:rsidRPr="00501619">
        <w:rPr>
          <w:sz w:val="28"/>
          <w:szCs w:val="28"/>
        </w:rPr>
        <w:t>au</w:t>
      </w:r>
      <w:r w:rsidR="002E53A9" w:rsidRPr="002E53A9">
        <w:rPr>
          <w:sz w:val="28"/>
          <w:szCs w:val="28"/>
        </w:rPr>
        <w:t xml:space="preserve"> khi sáp nhập tỉnh, </w:t>
      </w:r>
      <w:r w:rsidR="002E53A9" w:rsidRPr="002E53A9">
        <w:rPr>
          <w:rFonts w:eastAsia="Calibri"/>
          <w:bCs/>
          <w:sz w:val="28"/>
          <w:szCs w:val="28"/>
        </w:rPr>
        <w:t xml:space="preserve">toàn tỉnh có </w:t>
      </w:r>
      <w:r w:rsidR="00B25963">
        <w:rPr>
          <w:rFonts w:eastAsia="Calibri"/>
          <w:bCs/>
          <w:sz w:val="28"/>
          <w:szCs w:val="28"/>
        </w:rPr>
        <w:t>khoảng</w:t>
      </w:r>
      <w:r w:rsidR="002E53A9" w:rsidRPr="002E53A9">
        <w:rPr>
          <w:rFonts w:eastAsia="Calibri"/>
          <w:bCs/>
          <w:sz w:val="28"/>
          <w:szCs w:val="28"/>
        </w:rPr>
        <w:t xml:space="preserve"> 1.619 trang trại chăn nuôi (trong đó có 80 trang trại quy mô lớn, 786 trang trại quy mô vừa, 753 trang trại quy mô nhỏ)</w:t>
      </w:r>
      <w:r w:rsidR="002A4D82">
        <w:rPr>
          <w:rFonts w:eastAsia="Calibri"/>
          <w:bCs/>
          <w:sz w:val="28"/>
          <w:szCs w:val="28"/>
        </w:rPr>
        <w:t xml:space="preserve"> </w:t>
      </w:r>
      <w:r w:rsidR="002A4D82" w:rsidRPr="00A12376">
        <w:rPr>
          <w:rFonts w:eastAsia="Calibri"/>
          <w:bCs/>
          <w:sz w:val="28"/>
          <w:szCs w:val="28"/>
        </w:rPr>
        <w:t>và trên 100 nghìn cơ sở chăn nuôi nông hộ</w:t>
      </w:r>
      <w:r w:rsidR="002E53A9" w:rsidRPr="002E53A9">
        <w:rPr>
          <w:rFonts w:eastAsia="Calibri"/>
          <w:bCs/>
          <w:sz w:val="28"/>
          <w:szCs w:val="28"/>
        </w:rPr>
        <w:t xml:space="preserve">. Trong đó chăn nuôi quy mô trang trại chiếm trên 50% tổng đàn gia súc, gia cầm; Tổng </w:t>
      </w:r>
      <w:r w:rsidR="002E53A9" w:rsidRPr="002E53A9">
        <w:rPr>
          <w:rFonts w:eastAsia="Calibri"/>
          <w:color w:val="000000"/>
          <w:sz w:val="28"/>
          <w:szCs w:val="28"/>
          <w:lang w:val="nl-NL"/>
        </w:rPr>
        <w:t xml:space="preserve">đàn trâu, bò khoảng </w:t>
      </w:r>
      <w:r w:rsidR="002E53A9" w:rsidRPr="002E53A9">
        <w:rPr>
          <w:rFonts w:eastAsia="Calibri"/>
          <w:sz w:val="28"/>
          <w:szCs w:val="28"/>
          <w:lang w:val="nl-NL"/>
        </w:rPr>
        <w:t>125.000 con</w:t>
      </w:r>
      <w:r w:rsidR="002E53A9" w:rsidRPr="002E53A9">
        <w:rPr>
          <w:rFonts w:eastAsia="Calibri"/>
          <w:color w:val="000000"/>
          <w:sz w:val="28"/>
          <w:szCs w:val="28"/>
          <w:lang w:val="nl-NL"/>
        </w:rPr>
        <w:t xml:space="preserve"> </w:t>
      </w:r>
      <w:r w:rsidR="002E53A9" w:rsidRPr="002E53A9">
        <w:rPr>
          <w:rFonts w:eastAsia="Calibri"/>
          <w:i/>
          <w:color w:val="000000"/>
          <w:sz w:val="28"/>
          <w:szCs w:val="28"/>
          <w:lang w:val="nl-NL"/>
        </w:rPr>
        <w:t>(TN 86.000, BK 39.000);</w:t>
      </w:r>
      <w:r w:rsidR="002E53A9" w:rsidRPr="002E53A9">
        <w:rPr>
          <w:rFonts w:eastAsia="Calibri"/>
          <w:color w:val="000000"/>
          <w:sz w:val="28"/>
          <w:szCs w:val="28"/>
          <w:lang w:val="nl-NL"/>
        </w:rPr>
        <w:t xml:space="preserve">  Đàn lợn: 888.492 con </w:t>
      </w:r>
      <w:r w:rsidR="002E53A9" w:rsidRPr="002E53A9">
        <w:rPr>
          <w:rFonts w:eastAsia="Calibri"/>
          <w:i/>
          <w:color w:val="000000"/>
          <w:sz w:val="28"/>
          <w:szCs w:val="28"/>
          <w:lang w:val="nl-NL"/>
        </w:rPr>
        <w:t>(TN 725.000, BK 163.492)</w:t>
      </w:r>
      <w:r w:rsidR="002E53A9" w:rsidRPr="002E53A9">
        <w:rPr>
          <w:rFonts w:eastAsia="Calibri"/>
          <w:color w:val="000000"/>
          <w:sz w:val="28"/>
          <w:szCs w:val="28"/>
          <w:lang w:val="nl-NL"/>
        </w:rPr>
        <w:t xml:space="preserve">; Đàn gia cầm: 19,6 triệu con </w:t>
      </w:r>
      <w:r w:rsidR="002E53A9" w:rsidRPr="002E53A9">
        <w:rPr>
          <w:rFonts w:eastAsia="Calibri"/>
          <w:i/>
          <w:color w:val="000000"/>
          <w:sz w:val="28"/>
          <w:szCs w:val="28"/>
          <w:lang w:val="nl-NL"/>
        </w:rPr>
        <w:t>(TN 17,5 triệu con, BK 2,1 triệ</w:t>
      </w:r>
      <w:r w:rsidR="002E53A9">
        <w:rPr>
          <w:rFonts w:eastAsia="Calibri"/>
          <w:i/>
          <w:color w:val="000000"/>
          <w:sz w:val="28"/>
          <w:szCs w:val="28"/>
          <w:lang w:val="nl-NL"/>
        </w:rPr>
        <w:t>u con).</w:t>
      </w:r>
      <w:r w:rsidR="002E53A9">
        <w:rPr>
          <w:sz w:val="28"/>
          <w:szCs w:val="28"/>
        </w:rPr>
        <w:t xml:space="preserve"> </w:t>
      </w:r>
      <w:r w:rsidRPr="009078A1">
        <w:rPr>
          <w:sz w:val="28"/>
          <w:szCs w:val="28"/>
        </w:rPr>
        <w:t>Khu vực tỉnh Thái Nguyên (cũ) tập trung nhiều cơ sở chăn nuôi quy mô lớn, mật độ chăn nuôi cao, đặc biệt đối với chăn nuôi lợn và</w:t>
      </w:r>
      <w:r w:rsidR="002E53A9">
        <w:rPr>
          <w:sz w:val="28"/>
          <w:szCs w:val="28"/>
        </w:rPr>
        <w:t xml:space="preserve"> gia cầm theo hướng trang trại </w:t>
      </w:r>
      <w:r w:rsidRPr="009078A1">
        <w:rPr>
          <w:sz w:val="28"/>
          <w:szCs w:val="28"/>
        </w:rPr>
        <w:t>tập trung; trong khi khu vực tỉnh Bắc Kạn (cũ) chủ yếu phát triển chăn nuôi quy mô nông hộ, phân tán, gắn với điều kiện sản xuất miền núi và sinh kế của người dân.</w:t>
      </w:r>
    </w:p>
    <w:p w14:paraId="171192A6" w14:textId="559F8ACD" w:rsidR="009078A1" w:rsidRPr="009078A1" w:rsidRDefault="009078A1" w:rsidP="00C15373">
      <w:pPr>
        <w:spacing w:after="120"/>
        <w:ind w:firstLine="567"/>
        <w:jc w:val="both"/>
        <w:rPr>
          <w:sz w:val="28"/>
          <w:szCs w:val="28"/>
        </w:rPr>
      </w:pPr>
      <w:r w:rsidRPr="009078A1">
        <w:rPr>
          <w:sz w:val="28"/>
          <w:szCs w:val="28"/>
        </w:rPr>
        <w:t>Trong những năm qua, tỷ trọng ngành chăn nuôi trong cơ cấu nội bộ ngành nông nghiệp của tỉnh tiếp tục tăng; nhiều doanh nghiệp, hợp tác xã và cơ sở chăn nuôi đã đầu tư ứng dụng công nghệ mới, từng bước hình thành các chuỗi liên kết sản xuất, tiêu thụ sản phẩm chăn nuôi.</w:t>
      </w:r>
      <w:r w:rsidR="00C15373" w:rsidRPr="00C15373">
        <w:t xml:space="preserve"> </w:t>
      </w:r>
      <w:r w:rsidR="00C15373" w:rsidRPr="00C15373">
        <w:rPr>
          <w:sz w:val="28"/>
          <w:szCs w:val="28"/>
        </w:rPr>
        <w:t xml:space="preserve">Hiện nay có khoảng 400 trang trại liên kết với 14 doanh nghiệp chăn nuôi theo hình thức liên doanh, gia công, tiêu biểu như: Công ty cổ phần Chăn nuôi CP Việt Nam, Tập đoàn Dabaco, Công ty Japfa Comfeed Việt Nam, Công ty TNHH Emivest Feedmill Việt Nam, Công ty Dũng </w:t>
      </w:r>
      <w:r w:rsidR="00C15373" w:rsidRPr="00C15373">
        <w:rPr>
          <w:sz w:val="28"/>
          <w:szCs w:val="28"/>
        </w:rPr>
        <w:lastRenderedPageBreak/>
        <w:t>Minh… Các doanh nghiệp tham gia cung ứng con giống, thức ăn chăn nuôi, thuốc thú y, chuyển giao kỹ thuật, tổ chức giết mổ và bao tiêu sản phẩm. Thông qua các chuỗi liên kết này, mỗi năm thị trường được cung cấp khoảng 60.000 tấn thịt lợn và trên 70.000 tấn thịt gia cầm.</w:t>
      </w:r>
      <w:r w:rsidRPr="009078A1">
        <w:rPr>
          <w:sz w:val="28"/>
          <w:szCs w:val="28"/>
        </w:rPr>
        <w:t xml:space="preserve"> Hoạt động chăn nuôi góp phần tạo việc làm, nâng cao thu nhập cho người dân nông thôn và thúc đẩy phát triển kinh tế địa phương.</w:t>
      </w:r>
    </w:p>
    <w:p w14:paraId="1833B90F" w14:textId="35D26333" w:rsidR="009078A1" w:rsidRPr="009078A1" w:rsidRDefault="009078A1" w:rsidP="00482EFA">
      <w:pPr>
        <w:spacing w:after="120"/>
        <w:ind w:firstLine="720"/>
        <w:jc w:val="both"/>
        <w:rPr>
          <w:sz w:val="28"/>
          <w:szCs w:val="28"/>
        </w:rPr>
      </w:pPr>
      <w:r w:rsidRPr="009078A1">
        <w:rPr>
          <w:sz w:val="28"/>
          <w:szCs w:val="28"/>
        </w:rPr>
        <w:t xml:space="preserve">Tuy nhiên, quá trình phát triển chăn nuôi cũng đặt ra nhiều yêu cầu trong công tác quản lý nhà nước như nguy cơ ô nhiễm môi trường tại khu vực chăn nuôi tập trung; áp lực xử lý chất thải chăn nuôi; nguy cơ phát sinh, lây lan dịch bệnh động vật; sự phát triển không đồng đều về quy mô đàn vật nuôi giữa các địa phương. Thực tế hiện nay, mặc dù mật độ chăn nuôi bình quân toàn tỉnh chưa vượt ngưỡng quy định của Trung ương đối với vùng Trung du miền núi phía Bắc, </w:t>
      </w:r>
      <w:r w:rsidR="001E1C01" w:rsidRPr="00501619">
        <w:rPr>
          <w:sz w:val="28"/>
          <w:szCs w:val="28"/>
        </w:rPr>
        <w:t>tuy nhiên, mật độ chăn nuôi phân bố không đồng đều giữa các địa phương; một số xã, phường thuộc khu vực Phía Nam của tỉnh Thái Nguyên (cũ) có mật độ vượt xa mức bình quân của toàn tỉnh</w:t>
      </w:r>
      <w:r w:rsidR="001E1C01">
        <w:rPr>
          <w:color w:val="FF0000"/>
          <w:sz w:val="28"/>
          <w:szCs w:val="28"/>
        </w:rPr>
        <w:t xml:space="preserve"> </w:t>
      </w:r>
      <w:r w:rsidR="00482EFA">
        <w:rPr>
          <w:sz w:val="28"/>
          <w:szCs w:val="28"/>
        </w:rPr>
        <w:t xml:space="preserve">(19 xã, phường), </w:t>
      </w:r>
      <w:r w:rsidRPr="009078A1">
        <w:rPr>
          <w:sz w:val="28"/>
          <w:szCs w:val="28"/>
        </w:rPr>
        <w:t>có địa phương</w:t>
      </w:r>
      <w:r w:rsidR="003B7CEE">
        <w:rPr>
          <w:sz w:val="28"/>
          <w:szCs w:val="28"/>
        </w:rPr>
        <w:t xml:space="preserve"> </w:t>
      </w:r>
      <w:r w:rsidRPr="009078A1">
        <w:rPr>
          <w:sz w:val="28"/>
          <w:szCs w:val="28"/>
        </w:rPr>
        <w:t xml:space="preserve">đạt trên 7,50 đơn vị vật nuôi/ha đất nông nghiệp. Trong khi đó, </w:t>
      </w:r>
      <w:r w:rsidR="003B7CEE">
        <w:rPr>
          <w:sz w:val="28"/>
          <w:szCs w:val="28"/>
        </w:rPr>
        <w:t>tại</w:t>
      </w:r>
      <w:r w:rsidRPr="009078A1">
        <w:rPr>
          <w:sz w:val="28"/>
          <w:szCs w:val="28"/>
        </w:rPr>
        <w:t xml:space="preserve"> địa bàn thuộc khu vực </w:t>
      </w:r>
      <w:r w:rsidR="003B7CEE">
        <w:rPr>
          <w:sz w:val="28"/>
          <w:szCs w:val="28"/>
        </w:rPr>
        <w:t xml:space="preserve">Phía Bắc </w:t>
      </w:r>
      <w:r w:rsidRPr="009078A1">
        <w:rPr>
          <w:sz w:val="28"/>
          <w:szCs w:val="28"/>
        </w:rPr>
        <w:t>tỉnh Bắc Kạn (cũ) vẫn còn dư địa phát triển chăn nuôi hàng hóa tập trung.</w:t>
      </w:r>
    </w:p>
    <w:p w14:paraId="134F2442" w14:textId="77777777" w:rsidR="009078A1" w:rsidRPr="009078A1" w:rsidRDefault="009078A1" w:rsidP="009078A1">
      <w:pPr>
        <w:spacing w:after="120"/>
        <w:ind w:firstLine="720"/>
        <w:jc w:val="both"/>
        <w:rPr>
          <w:sz w:val="28"/>
          <w:szCs w:val="28"/>
        </w:rPr>
      </w:pPr>
      <w:r w:rsidRPr="009078A1">
        <w:rPr>
          <w:sz w:val="28"/>
          <w:szCs w:val="28"/>
        </w:rPr>
        <w:t>Do đó, việc rà soát, đánh giá tình hình thực hiện và xây dựng quy định mật độ chăn nuôi thống nhất trên phạm vi toàn tỉnh là cần thiết nhằm phù hợp với điều kiện thực tế sau sắp xếp đơn vị hành chính; bảo đảm phát triển chăn nuôi bền vững, hài hòa giữa phát triển kinh tế, bảo vệ môi trường và phòng chống dịch bệnh.</w:t>
      </w:r>
    </w:p>
    <w:p w14:paraId="5E2EA71B" w14:textId="77777777" w:rsidR="009078A1" w:rsidRPr="009078A1" w:rsidRDefault="009078A1" w:rsidP="003B7CEE">
      <w:pPr>
        <w:spacing w:after="120"/>
        <w:ind w:firstLine="720"/>
        <w:jc w:val="both"/>
        <w:outlineLvl w:val="1"/>
        <w:rPr>
          <w:b/>
          <w:bCs/>
          <w:sz w:val="28"/>
          <w:szCs w:val="28"/>
        </w:rPr>
      </w:pPr>
      <w:r w:rsidRPr="009078A1">
        <w:rPr>
          <w:b/>
          <w:bCs/>
          <w:sz w:val="28"/>
          <w:szCs w:val="28"/>
        </w:rPr>
        <w:t>II. KẾT QUẢ THỰC HIỆN</w:t>
      </w:r>
    </w:p>
    <w:p w14:paraId="3ECD9A50" w14:textId="77777777" w:rsidR="009078A1" w:rsidRPr="009078A1" w:rsidRDefault="009078A1" w:rsidP="003B7CEE">
      <w:pPr>
        <w:spacing w:after="120"/>
        <w:ind w:firstLine="720"/>
        <w:jc w:val="both"/>
        <w:outlineLvl w:val="2"/>
        <w:rPr>
          <w:b/>
          <w:bCs/>
          <w:sz w:val="28"/>
          <w:szCs w:val="28"/>
        </w:rPr>
      </w:pPr>
      <w:r w:rsidRPr="009078A1">
        <w:rPr>
          <w:b/>
          <w:bCs/>
          <w:sz w:val="28"/>
          <w:szCs w:val="28"/>
        </w:rPr>
        <w:t>1. Công tác chỉ đạo, điều hành triển khai thực hiện</w:t>
      </w:r>
    </w:p>
    <w:p w14:paraId="70A5D14A" w14:textId="77777777" w:rsidR="009078A1" w:rsidRPr="009078A1" w:rsidRDefault="009078A1" w:rsidP="003B7CEE">
      <w:pPr>
        <w:spacing w:after="120"/>
        <w:ind w:firstLine="720"/>
        <w:jc w:val="both"/>
        <w:rPr>
          <w:sz w:val="28"/>
          <w:szCs w:val="28"/>
        </w:rPr>
      </w:pPr>
      <w:r w:rsidRPr="009078A1">
        <w:rPr>
          <w:sz w:val="28"/>
          <w:szCs w:val="28"/>
        </w:rPr>
        <w:t xml:space="preserve">Thực hiện quy định tại khoản 5 Điều 53 Luật Chăn nuôi, </w:t>
      </w:r>
      <w:r w:rsidR="00353275">
        <w:rPr>
          <w:sz w:val="28"/>
          <w:szCs w:val="28"/>
        </w:rPr>
        <w:t>tỉnh Thái Nguyên và Bắc Kạn</w:t>
      </w:r>
      <w:r w:rsidRPr="009078A1">
        <w:rPr>
          <w:sz w:val="28"/>
          <w:szCs w:val="28"/>
        </w:rPr>
        <w:t xml:space="preserve"> trước sắp xếp đơn vị hành chính đã chủ động ban hành quy định về mật độ chăn nuôi làm cơ sở quản lý, định hướng phát triển ngành chăn nuôi phù hợp với điều kiện thực tế của từng địa phương.</w:t>
      </w:r>
    </w:p>
    <w:p w14:paraId="245B091B" w14:textId="77777777" w:rsidR="009078A1" w:rsidRPr="009078A1" w:rsidRDefault="009078A1" w:rsidP="003B7CEE">
      <w:pPr>
        <w:spacing w:after="120"/>
        <w:ind w:firstLine="720"/>
        <w:jc w:val="both"/>
        <w:rPr>
          <w:sz w:val="28"/>
          <w:szCs w:val="28"/>
        </w:rPr>
      </w:pPr>
      <w:r w:rsidRPr="009078A1">
        <w:rPr>
          <w:sz w:val="28"/>
          <w:szCs w:val="28"/>
        </w:rPr>
        <w:t>Ngày 16/12/2022, Ủy ban nhân dân tỉnh Thái Nguyên (cũ) ban hành Quyết định số 28/2022/QĐ-UBND quy định mật độ chăn nuôi trên địa bàn tỉnh Thái Nguyên đến năm 2030; ngày 07/12/2020, Ủy ban nhân dân tỉnh Bắc Kạn (cũ) ban hành Quyết định số 24/2020/QĐ-UBND quy định mật độ chăn nuôi trên địa bàn tỉnh Bắc Kạn.</w:t>
      </w:r>
    </w:p>
    <w:p w14:paraId="53792926" w14:textId="07B5D1FF" w:rsidR="009078A1" w:rsidRPr="009078A1" w:rsidRDefault="009078A1" w:rsidP="003B7CEE">
      <w:pPr>
        <w:spacing w:after="120"/>
        <w:ind w:firstLine="720"/>
        <w:jc w:val="both"/>
        <w:rPr>
          <w:sz w:val="28"/>
          <w:szCs w:val="28"/>
        </w:rPr>
      </w:pPr>
      <w:r w:rsidRPr="009078A1">
        <w:rPr>
          <w:sz w:val="28"/>
          <w:szCs w:val="28"/>
        </w:rPr>
        <w:t>Các quy định được ban hành bảo đảm đúng nội dung được phân cấp theo quy định của Luật Chăn nuôi và các văn bản hướng dẫn thi hành; đồng thời phù hợp với điều kiện sản xuất, quỹ đất nông nghiệp, định hướng phát triển chăn nuôi và khả năng đáp ứng về môi trường của từng địa phương.</w:t>
      </w:r>
    </w:p>
    <w:p w14:paraId="6A2C7690" w14:textId="77777777" w:rsidR="009078A1" w:rsidRPr="009078A1" w:rsidRDefault="009078A1" w:rsidP="003B7CEE">
      <w:pPr>
        <w:spacing w:after="120"/>
        <w:ind w:firstLine="720"/>
        <w:jc w:val="both"/>
        <w:rPr>
          <w:sz w:val="28"/>
          <w:szCs w:val="28"/>
        </w:rPr>
      </w:pPr>
      <w:r w:rsidRPr="009078A1">
        <w:rPr>
          <w:sz w:val="28"/>
          <w:szCs w:val="28"/>
        </w:rPr>
        <w:t xml:space="preserve">Sau khi được ban hành, các quy định về mật độ chăn nuôi là căn cứ để các cơ quan chuyên môn, địa phương tổ chức quản lý hoạt động chăn nuôi; xem xét, tham gia ý kiến đối với các chương trình, dự án đầu tư chăn nuôi; định hướng phát triển chăn nuôi tập trung, quy mô trang trại; đồng thời góp phần nâng cao </w:t>
      </w:r>
      <w:r w:rsidRPr="009078A1">
        <w:rPr>
          <w:sz w:val="28"/>
          <w:szCs w:val="28"/>
        </w:rPr>
        <w:lastRenderedPageBreak/>
        <w:t>hiệu quả công tác quản lý môi trường, phòng chống dịch bệnh và phát triển chăn nuôi bền vững.</w:t>
      </w:r>
    </w:p>
    <w:p w14:paraId="46CD5165" w14:textId="77777777" w:rsidR="009078A1" w:rsidRPr="009078A1" w:rsidRDefault="009078A1" w:rsidP="003B7CEE">
      <w:pPr>
        <w:spacing w:after="120"/>
        <w:ind w:firstLine="720"/>
        <w:jc w:val="both"/>
        <w:rPr>
          <w:sz w:val="28"/>
          <w:szCs w:val="28"/>
        </w:rPr>
      </w:pPr>
      <w:r w:rsidRPr="009078A1">
        <w:rPr>
          <w:sz w:val="28"/>
          <w:szCs w:val="28"/>
        </w:rPr>
        <w:t>Các sở, ngành và địa phương đã tăng cường phối hợp trong công tác quản lý nhà nước về chăn nuôi; hướng dẫn các tổ chức, cá nhân đầu tư phát triển chăn nuôi phù hợp với quy hoạch sử dụng đất, khả năng xử lý môi trường và điều kiện thực tế của từng địa bàn.</w:t>
      </w:r>
    </w:p>
    <w:p w14:paraId="4DB87CC9" w14:textId="77777777" w:rsidR="009078A1" w:rsidRPr="009078A1" w:rsidRDefault="009078A1" w:rsidP="003B7CEE">
      <w:pPr>
        <w:spacing w:after="120"/>
        <w:ind w:firstLine="720"/>
        <w:jc w:val="both"/>
        <w:rPr>
          <w:sz w:val="28"/>
          <w:szCs w:val="28"/>
        </w:rPr>
      </w:pPr>
      <w:r w:rsidRPr="009078A1">
        <w:rPr>
          <w:sz w:val="28"/>
          <w:szCs w:val="28"/>
        </w:rPr>
        <w:t>Đồng thời, các địa phương đã chủ động tuyên truyền, vận động người chăn nuôi chuyển đổi phương thức chăn nuôi nhỏ lẻ sang chăn nuôi tập trung, an toàn sinh học; khuyến khích đầu tư công nghệ xử lý chất thải, ứng dụng tiến bộ kỹ thuật nhằm giảm thiểu ô nhiễm môi trường và nâng cao hiệu quả sản xuất.</w:t>
      </w:r>
    </w:p>
    <w:p w14:paraId="399816D8" w14:textId="343C5399" w:rsidR="009078A1" w:rsidRDefault="009078A1" w:rsidP="00353275">
      <w:pPr>
        <w:spacing w:after="120"/>
        <w:ind w:firstLine="720"/>
        <w:jc w:val="both"/>
        <w:outlineLvl w:val="2"/>
        <w:rPr>
          <w:b/>
          <w:bCs/>
          <w:sz w:val="28"/>
          <w:szCs w:val="28"/>
        </w:rPr>
      </w:pPr>
      <w:r w:rsidRPr="004C0086">
        <w:rPr>
          <w:b/>
          <w:bCs/>
          <w:sz w:val="28"/>
          <w:szCs w:val="28"/>
        </w:rPr>
        <w:t>2. Kết quả thực hiện</w:t>
      </w:r>
      <w:r w:rsidR="00093B5F">
        <w:rPr>
          <w:b/>
          <w:bCs/>
          <w:sz w:val="28"/>
          <w:szCs w:val="28"/>
        </w:rPr>
        <w:t xml:space="preserve"> </w:t>
      </w:r>
    </w:p>
    <w:p w14:paraId="774FF799" w14:textId="77777777" w:rsidR="00501619" w:rsidRPr="00501619" w:rsidRDefault="00501619" w:rsidP="00501619">
      <w:pPr>
        <w:spacing w:after="120"/>
        <w:ind w:firstLine="720"/>
        <w:jc w:val="both"/>
        <w:rPr>
          <w:sz w:val="28"/>
          <w:szCs w:val="28"/>
        </w:rPr>
      </w:pPr>
      <w:r w:rsidRPr="00501619">
        <w:rPr>
          <w:sz w:val="28"/>
          <w:szCs w:val="28"/>
        </w:rPr>
        <w:t>Sau khi các quy định về mật độ chăn nuôi được ban hành, các cơ quan chuyên môn và địa phương đã tổ chức triển khai thực hiện đồng bộ gắn với công tác quản lý nhà nước về chăn nuôi, bảo vệ môi trường và thu hút đầu tư phát triển chăn nuôi trên địa bàn.</w:t>
      </w:r>
    </w:p>
    <w:p w14:paraId="51DAAABB" w14:textId="77777777" w:rsidR="00501619" w:rsidRPr="00501619" w:rsidRDefault="00501619" w:rsidP="00501619">
      <w:pPr>
        <w:spacing w:after="120"/>
        <w:ind w:firstLine="720"/>
        <w:jc w:val="both"/>
        <w:rPr>
          <w:sz w:val="28"/>
          <w:szCs w:val="28"/>
        </w:rPr>
      </w:pPr>
      <w:r w:rsidRPr="00501619">
        <w:rPr>
          <w:sz w:val="28"/>
          <w:szCs w:val="28"/>
        </w:rPr>
        <w:t>Trong quá trình thực hiện, các quy định về mật độ chăn nuôi đã trở thành một trong những căn cứ quan trọng để cơ quan quản lý nhà nước xem xét, tham gia ý kiến đối với các dự án đầu tư chăn nuôi; định hướng phát triển đàn vật nuôi phù hợp với điều kiện đất đai, môi trường và khả năng tiếp nhận của từng địa phương. Việc xem xét các dự án đầu tư mới được thực hiện trên cơ sở đánh giá tổng thể về quy mô chăn nuôi, quỹ đất nông nghiệp, khoảng cách an toàn môi trường, khả năng xử lý chất thải và mức độ phù hợp với định hướng phát triển ngành chăn nuôi của địa phương.</w:t>
      </w:r>
    </w:p>
    <w:p w14:paraId="4CD4B567" w14:textId="77777777" w:rsidR="00501619" w:rsidRPr="00501619" w:rsidRDefault="00501619" w:rsidP="00501619">
      <w:pPr>
        <w:spacing w:after="120"/>
        <w:ind w:firstLine="720"/>
        <w:jc w:val="both"/>
        <w:rPr>
          <w:sz w:val="28"/>
          <w:szCs w:val="28"/>
        </w:rPr>
      </w:pPr>
      <w:r w:rsidRPr="00501619">
        <w:rPr>
          <w:sz w:val="28"/>
          <w:szCs w:val="28"/>
        </w:rPr>
        <w:t>Giai đoạn 2021-2025, hoạt động chăn nuôi trên địa bàn hai tỉnh trước khi sắp xếp đơn vị hành chính tiếp tục phát triển theo hướng giảm dần chăn nuôi nhỏ lẻ, tăng tỷ trọng chăn nuôi tập trung, quy mô trang trại. Nhiều doanh nghiệp, hợp tác xã và hộ chăn nuôi đã đầu tư mở rộng quy mô sản xuất, ứng dụng công nghệ chăn nuôi tiên tiến, áp dụng quy trình an toàn sinh học và đầu tư hệ thống xử lý chất thải, góp phần nâng cao năng suất, chất lượng sản phẩm và giảm thiểu tác động đến môi trường.</w:t>
      </w:r>
    </w:p>
    <w:p w14:paraId="174018B9" w14:textId="31067FBF" w:rsidR="00501619" w:rsidRDefault="00501619" w:rsidP="00501619">
      <w:pPr>
        <w:spacing w:after="120"/>
        <w:ind w:firstLine="720"/>
        <w:jc w:val="both"/>
        <w:rPr>
          <w:sz w:val="28"/>
          <w:szCs w:val="28"/>
        </w:rPr>
      </w:pPr>
      <w:r w:rsidRPr="00501619">
        <w:rPr>
          <w:sz w:val="28"/>
          <w:szCs w:val="28"/>
        </w:rPr>
        <w:t>Việc thực hiện quy định về mật độ chăn nuôi đã góp phần định hướng phân bố không gian phát triển chăn nuôi phù hợp hơn giữa các địa phương. Tại khu vực tỉnh Thái Nguyên (cũ), nơi có điều kiện thuận lợi về hạ tầng, thị trường tiêu thụ và thu hút đầu tư, chăn nuôi phát triển mạnh theo hướng tập trung, quy mô lớn, đặc biệt đối với chăn nuôi lợn và gia cầm. Trong khi đó, tại khu vực tỉnh Bắc Kạn (cũ), hoạt động chăn nuôi chủ yếu phát triển theo hướng tận dụng lợi thế đất đai và điều kiện sinh thái, từng bước hình thành các cơ sở chăn nuôi hàng hóa quy mô vừa và nhỏ gắn với đặc điểm sản xuất của địa phương.</w:t>
      </w:r>
    </w:p>
    <w:p w14:paraId="615F890B" w14:textId="54555F1D" w:rsidR="006A5AF6" w:rsidRPr="00501619" w:rsidRDefault="006A5AF6" w:rsidP="00501619">
      <w:pPr>
        <w:spacing w:after="120"/>
        <w:ind w:firstLine="720"/>
        <w:jc w:val="both"/>
        <w:rPr>
          <w:sz w:val="28"/>
          <w:szCs w:val="28"/>
        </w:rPr>
      </w:pPr>
      <w:r w:rsidRPr="006A5AF6">
        <w:rPr>
          <w:sz w:val="28"/>
          <w:szCs w:val="28"/>
        </w:rPr>
        <w:t xml:space="preserve">Thực hiện định hướng phát triển ngành chăn nuôi của tỉnh, Sở Nông nghiệp và Môi trường đã phối hợp với các địa phương rà soát hiện trạng sử dụng đất, đánh giá điều kiện tự nhiên, hạ tầng kỹ thuật, khả năng đáp ứng yêu cầu về môi </w:t>
      </w:r>
      <w:r w:rsidRPr="006A5AF6">
        <w:rPr>
          <w:sz w:val="28"/>
          <w:szCs w:val="28"/>
        </w:rPr>
        <w:lastRenderedPageBreak/>
        <w:t>trường để định hướng phát triển các vùng chăn nuôi tập trung phù hợp với tiềm năng, lợi thế của từng địa phương. Việc rà soát, bố trí không gian phát triển chăn nuôi được thực hiện gắn với quy hoạch tỉnh, quy hoạch sử dụng đất và yêu cầu bảo vệ môi trường, góp phần sử dụng hiệu quả quỹ đất nông nghiệp, hạn chế phát sinh các cơ sở chăn nuôi tại khu vực không phù hợp.</w:t>
      </w:r>
    </w:p>
    <w:p w14:paraId="11011EB1" w14:textId="77777777" w:rsidR="00501619" w:rsidRPr="00501619" w:rsidRDefault="00501619" w:rsidP="00501619">
      <w:pPr>
        <w:spacing w:after="120"/>
        <w:ind w:firstLine="720"/>
        <w:jc w:val="both"/>
        <w:rPr>
          <w:sz w:val="28"/>
          <w:szCs w:val="28"/>
        </w:rPr>
      </w:pPr>
      <w:r w:rsidRPr="00501619">
        <w:rPr>
          <w:sz w:val="28"/>
          <w:szCs w:val="28"/>
        </w:rPr>
        <w:t>Cùng với việc triển khai các quy định về mật độ chăn nuôi, công tác quản lý môi trường trong chăn nuôi tiếp tục được quan tâm thực hiện. Các địa phương đã tăng cường hướng dẫn các cơ sở chăn nuôi thực hiện các quy định về bảo vệ môi trường; khuyến khích áp dụng các giải pháp xử lý chất thải, tái sử dụng phụ phẩm chăn nuôi, xây dựng mô hình kinh tế tuần hoàn. Nhiều cơ sở chăn nuôi quy mô trang trại đã đầu tư hệ thống biogas, đệm lót sinh học, hệ thống thu gom và xử lý chất thải tập trung, góp phần hạn chế ô nhiễm môi trường tại khu vực chăn nuôi.</w:t>
      </w:r>
    </w:p>
    <w:p w14:paraId="73032997" w14:textId="77777777" w:rsidR="00501619" w:rsidRPr="00501619" w:rsidRDefault="00501619" w:rsidP="00501619">
      <w:pPr>
        <w:spacing w:after="120"/>
        <w:ind w:firstLine="720"/>
        <w:jc w:val="both"/>
        <w:rPr>
          <w:sz w:val="28"/>
          <w:szCs w:val="28"/>
        </w:rPr>
      </w:pPr>
      <w:r w:rsidRPr="00501619">
        <w:rPr>
          <w:sz w:val="28"/>
          <w:szCs w:val="28"/>
        </w:rPr>
        <w:t>Công tác phòng, chống dịch bệnh động vật cũng được triển khai gắn với việc quản lý phát triển đàn vật nuôi theo mật độ chăn nuôi. Việc kiểm soát quy mô phát triển đàn tại một số khu vực có mật độ chăn nuôi cao đã góp phần giảm nguy cơ phát sinh và lây lan dịch bệnh; tạo điều kiện thuận lợi cho công tác giám sát dịch tễ, tổ chức tiêm phòng và kiểm soát dịch bệnh trên đàn vật nuôi.</w:t>
      </w:r>
    </w:p>
    <w:p w14:paraId="5B5F7606" w14:textId="77777777" w:rsidR="00501619" w:rsidRPr="00501619" w:rsidRDefault="00501619" w:rsidP="00501619">
      <w:pPr>
        <w:spacing w:after="120"/>
        <w:ind w:firstLine="720"/>
        <w:jc w:val="both"/>
        <w:rPr>
          <w:sz w:val="28"/>
          <w:szCs w:val="28"/>
        </w:rPr>
      </w:pPr>
      <w:r w:rsidRPr="00501619">
        <w:rPr>
          <w:sz w:val="28"/>
          <w:szCs w:val="28"/>
        </w:rPr>
        <w:t>Trong quá trình thực hiện, các địa phương thường xuyên rà soát, cập nhật tình hình phát triển đàn vật nuôi, diện tích đất nông nghiệp và thực trạng phân bố chăn nuôi để phục vụ công tác quản lý. Kết quả theo dõi cho thấy mật độ chăn nuôi bình quân toàn tỉnh vẫn nằm trong giới hạn quy định đối với vùng Trung du và miền núi phía Bắc theo quy định của Bộ Nông nghiệp và Môi trường. Tuy nhiên, giữa các địa phương có sự chênh lệch khá lớn về mật độ chăn nuôi. Một số xã, phường thuộc khu vực phía Nam tỉnh Thái Nguyên (cũ) có mật độ chăn nuôi cao hơn đáng kể so với mức bình quân chung của toàn tỉnh; trong khi nhiều địa bàn thuộc khu vực Bắc Kạn (cũ) vẫn còn dư địa lớn để phát triển chăn nuôi hàng hóa tập trung.</w:t>
      </w:r>
    </w:p>
    <w:p w14:paraId="64030680" w14:textId="5E22EF26" w:rsidR="00501619" w:rsidRPr="00501619" w:rsidRDefault="00501619" w:rsidP="00501619">
      <w:pPr>
        <w:spacing w:after="120"/>
        <w:ind w:firstLine="720"/>
        <w:jc w:val="both"/>
        <w:rPr>
          <w:sz w:val="28"/>
          <w:szCs w:val="28"/>
        </w:rPr>
      </w:pPr>
      <w:r w:rsidRPr="00501619">
        <w:rPr>
          <w:sz w:val="28"/>
          <w:szCs w:val="28"/>
        </w:rPr>
        <w:t>Sau khi thực hiện chủ trương sắp xếp đơn vị hành chính cấp tỉnh, tỉnh Thái Nguyên mới được hình thành trên cơ sở hợp nhất hai tỉnh Thái Nguyên và Bắc Kạn. Việc hợp nhất đã làm thay đổi đáng kể quy mô diện tích tự nhiên, quỹ đất nông nghiệp, cơ cấu sản xuất và phân bố đàn vật nuôi trên địa bàn. Các quy định về mật độ chăn nuôi được ban hành trước đây của hai tỉnh tiếp tục phát huy hiệu quả trong giai đoạn chuyển tiếp; đồng thời cũng đặt ra yêu cầu phải rà soát, đánh giá lại mức độ phù hợp để xây dựng quy định mới thống nhất trên phạm vi toàn tỉnh, bảo đảm phù hợp với điều kiện thực tiễn sau sắp xếp đơn vị hành chính và định hướng phát triển ngành chăn nuôi trong giai đoạn tới.</w:t>
      </w:r>
    </w:p>
    <w:p w14:paraId="095E66CE" w14:textId="77777777" w:rsidR="004B0D8E" w:rsidRPr="004B0D8E" w:rsidRDefault="004B0D8E" w:rsidP="00353275">
      <w:pPr>
        <w:spacing w:after="120"/>
        <w:ind w:firstLine="720"/>
        <w:jc w:val="both"/>
        <w:rPr>
          <w:b/>
          <w:sz w:val="28"/>
          <w:szCs w:val="28"/>
        </w:rPr>
      </w:pPr>
      <w:r w:rsidRPr="004B0D8E">
        <w:rPr>
          <w:b/>
          <w:sz w:val="28"/>
          <w:szCs w:val="28"/>
        </w:rPr>
        <w:t xml:space="preserve">3. Tồn tại, hạn chế </w:t>
      </w:r>
    </w:p>
    <w:p w14:paraId="059A9500" w14:textId="77777777" w:rsidR="00353275" w:rsidRPr="00353275" w:rsidRDefault="009078A1" w:rsidP="00353275">
      <w:pPr>
        <w:spacing w:after="120"/>
        <w:ind w:firstLine="720"/>
        <w:jc w:val="both"/>
        <w:rPr>
          <w:sz w:val="28"/>
          <w:szCs w:val="28"/>
        </w:rPr>
      </w:pPr>
      <w:r w:rsidRPr="009078A1">
        <w:rPr>
          <w:sz w:val="28"/>
          <w:szCs w:val="28"/>
        </w:rPr>
        <w:t xml:space="preserve">Quy mô chăn nuôi giữa các địa phương phát triển chưa đồng đều; một số xã thuộc khu vực tỉnh Thái Nguyên (cũ) có mật độ chăn nuôi cao, gây áp lực lớn đối với môi trường và công tác phòng chống dịch bệnh. </w:t>
      </w:r>
    </w:p>
    <w:p w14:paraId="1652E244" w14:textId="77777777" w:rsidR="00353275" w:rsidRPr="00353275" w:rsidRDefault="009078A1" w:rsidP="00353275">
      <w:pPr>
        <w:spacing w:after="120"/>
        <w:ind w:firstLine="720"/>
        <w:jc w:val="both"/>
        <w:rPr>
          <w:sz w:val="28"/>
          <w:szCs w:val="28"/>
        </w:rPr>
      </w:pPr>
      <w:r w:rsidRPr="009078A1">
        <w:rPr>
          <w:sz w:val="28"/>
          <w:szCs w:val="28"/>
        </w:rPr>
        <w:lastRenderedPageBreak/>
        <w:t xml:space="preserve">Khu vực tỉnh Bắc Kạn (cũ) còn gặp khó khăn trong việc thu hút đầu tư phát triển chăn nuôi tập trung quy mô lớn do điều kiện hạ tầng, giao thông và liên kết sản xuất còn hạn chế. </w:t>
      </w:r>
    </w:p>
    <w:p w14:paraId="04BF0633" w14:textId="77777777" w:rsidR="00353275" w:rsidRPr="00353275" w:rsidRDefault="009078A1" w:rsidP="00353275">
      <w:pPr>
        <w:spacing w:after="120"/>
        <w:ind w:firstLine="720"/>
        <w:jc w:val="both"/>
        <w:rPr>
          <w:sz w:val="28"/>
          <w:szCs w:val="28"/>
        </w:rPr>
      </w:pPr>
      <w:r w:rsidRPr="009078A1">
        <w:rPr>
          <w:sz w:val="28"/>
          <w:szCs w:val="28"/>
        </w:rPr>
        <w:t xml:space="preserve">Việc thống kê số liệu chăn nuôi tại cơ sở có thời điểm chưa phản ánh đầy đủ thực tế biến động tổng đàn vật nuôi. </w:t>
      </w:r>
    </w:p>
    <w:p w14:paraId="2F5D8E8C" w14:textId="77777777" w:rsidR="009078A1" w:rsidRDefault="009078A1" w:rsidP="00353275">
      <w:pPr>
        <w:spacing w:after="120"/>
        <w:ind w:firstLine="720"/>
        <w:jc w:val="both"/>
        <w:rPr>
          <w:sz w:val="28"/>
          <w:szCs w:val="28"/>
        </w:rPr>
      </w:pPr>
      <w:r w:rsidRPr="009078A1">
        <w:rPr>
          <w:sz w:val="28"/>
          <w:szCs w:val="28"/>
        </w:rPr>
        <w:t xml:space="preserve">Một bộ phận hộ chăn nuôi nhỏ lẻ chưa đáp ứng đầy đủ yêu cầu về khoảng cách an toàn môi trường, xử lý chất thải chăn nuôi theo quy định. </w:t>
      </w:r>
    </w:p>
    <w:p w14:paraId="4F0B44A9" w14:textId="377D3F93" w:rsidR="005D1DA1" w:rsidRDefault="005D1DA1" w:rsidP="00353275">
      <w:pPr>
        <w:spacing w:after="120"/>
        <w:ind w:firstLine="720"/>
        <w:jc w:val="both"/>
        <w:rPr>
          <w:sz w:val="28"/>
          <w:szCs w:val="28"/>
        </w:rPr>
      </w:pPr>
      <w:r>
        <w:rPr>
          <w:sz w:val="28"/>
          <w:szCs w:val="28"/>
        </w:rPr>
        <w:t>Chưa có cơ chế kiểm soát hiệu quả việc phát triển đàn vật nuôi tại các khu vực có mật độ cao</w:t>
      </w:r>
      <w:r w:rsidR="005924DF">
        <w:rPr>
          <w:sz w:val="28"/>
          <w:szCs w:val="28"/>
        </w:rPr>
        <w:t>.</w:t>
      </w:r>
    </w:p>
    <w:p w14:paraId="3833D4F3" w14:textId="71FFE190" w:rsidR="005924DF" w:rsidRPr="009078A1" w:rsidRDefault="005924DF" w:rsidP="00353275">
      <w:pPr>
        <w:spacing w:after="120"/>
        <w:ind w:firstLine="720"/>
        <w:jc w:val="both"/>
        <w:rPr>
          <w:sz w:val="28"/>
          <w:szCs w:val="28"/>
        </w:rPr>
      </w:pPr>
      <w:r>
        <w:rPr>
          <w:sz w:val="28"/>
          <w:szCs w:val="28"/>
        </w:rPr>
        <w:t>Một số địa phương chưa chủ động lồng ghép quy định mật độ chăn nuôi vào định hướng thu hút đầu tư.</w:t>
      </w:r>
    </w:p>
    <w:p w14:paraId="3332574B" w14:textId="77777777" w:rsidR="009078A1" w:rsidRPr="009078A1" w:rsidRDefault="004B0D8E" w:rsidP="00353275">
      <w:pPr>
        <w:spacing w:after="120"/>
        <w:ind w:firstLine="720"/>
        <w:jc w:val="both"/>
        <w:outlineLvl w:val="2"/>
        <w:rPr>
          <w:b/>
          <w:bCs/>
          <w:sz w:val="28"/>
          <w:szCs w:val="28"/>
        </w:rPr>
      </w:pPr>
      <w:r>
        <w:rPr>
          <w:b/>
          <w:bCs/>
          <w:sz w:val="28"/>
          <w:szCs w:val="28"/>
        </w:rPr>
        <w:t>4</w:t>
      </w:r>
      <w:r w:rsidR="009078A1" w:rsidRPr="009078A1">
        <w:rPr>
          <w:b/>
          <w:bCs/>
          <w:sz w:val="28"/>
          <w:szCs w:val="28"/>
        </w:rPr>
        <w:t>. Đánh giá chung</w:t>
      </w:r>
    </w:p>
    <w:p w14:paraId="2D4BA832" w14:textId="77777777" w:rsidR="00353275" w:rsidRPr="00353275" w:rsidRDefault="009078A1" w:rsidP="00353275">
      <w:pPr>
        <w:spacing w:after="120"/>
        <w:ind w:firstLine="720"/>
        <w:jc w:val="both"/>
        <w:rPr>
          <w:sz w:val="28"/>
          <w:szCs w:val="28"/>
        </w:rPr>
      </w:pPr>
      <w:r w:rsidRPr="009078A1">
        <w:rPr>
          <w:sz w:val="28"/>
          <w:szCs w:val="28"/>
        </w:rPr>
        <w:t>Qua tổng kết, đánh giá việc triển khai thực hiện cho thấy:</w:t>
      </w:r>
    </w:p>
    <w:p w14:paraId="4A8058BC" w14:textId="77777777" w:rsidR="00353275" w:rsidRPr="00353275" w:rsidRDefault="00353275" w:rsidP="00353275">
      <w:pPr>
        <w:spacing w:after="120"/>
        <w:ind w:firstLine="720"/>
        <w:jc w:val="both"/>
        <w:rPr>
          <w:sz w:val="28"/>
          <w:szCs w:val="28"/>
        </w:rPr>
      </w:pPr>
      <w:r>
        <w:rPr>
          <w:sz w:val="28"/>
          <w:szCs w:val="28"/>
        </w:rPr>
        <w:t xml:space="preserve">- </w:t>
      </w:r>
      <w:r w:rsidR="009078A1" w:rsidRPr="009078A1">
        <w:rPr>
          <w:sz w:val="28"/>
          <w:szCs w:val="28"/>
        </w:rPr>
        <w:t xml:space="preserve">Việc quản lý phát triển chăn nuôi gắn với quy định mật độ chăn nuôi là cần thiết nhằm bảo đảm phát triển ngành chăn nuôi theo hướng bền vững, an toàn sinh học và bảo vệ môi trường. </w:t>
      </w:r>
    </w:p>
    <w:p w14:paraId="38D90495" w14:textId="77777777" w:rsidR="00353275" w:rsidRPr="00353275" w:rsidRDefault="00353275" w:rsidP="00353275">
      <w:pPr>
        <w:spacing w:after="120"/>
        <w:ind w:firstLine="720"/>
        <w:jc w:val="both"/>
        <w:rPr>
          <w:sz w:val="28"/>
          <w:szCs w:val="28"/>
        </w:rPr>
      </w:pPr>
      <w:r>
        <w:rPr>
          <w:sz w:val="28"/>
          <w:szCs w:val="28"/>
        </w:rPr>
        <w:t xml:space="preserve">- </w:t>
      </w:r>
      <w:r w:rsidR="009078A1" w:rsidRPr="009078A1">
        <w:rPr>
          <w:sz w:val="28"/>
          <w:szCs w:val="28"/>
        </w:rPr>
        <w:t xml:space="preserve">Các quy định về mật độ chăn nuôi được ban hành đã góp phần định hướng các tổ chức, cá nhân đầu tư chăn nuôi tập trung, quy mô trang trại; nâng cao nhận thức của người chăn nuôi trong việc xử lý môi trường và phòng chống dịch bệnh. </w:t>
      </w:r>
    </w:p>
    <w:p w14:paraId="78918B43" w14:textId="77777777" w:rsidR="009078A1" w:rsidRPr="009078A1" w:rsidRDefault="00353275" w:rsidP="00353275">
      <w:pPr>
        <w:spacing w:after="120"/>
        <w:ind w:firstLine="720"/>
        <w:jc w:val="both"/>
        <w:rPr>
          <w:sz w:val="28"/>
          <w:szCs w:val="28"/>
        </w:rPr>
      </w:pPr>
      <w:r>
        <w:rPr>
          <w:sz w:val="28"/>
          <w:szCs w:val="28"/>
        </w:rPr>
        <w:t xml:space="preserve">- </w:t>
      </w:r>
      <w:r w:rsidR="009078A1" w:rsidRPr="009078A1">
        <w:rPr>
          <w:sz w:val="28"/>
          <w:szCs w:val="28"/>
        </w:rPr>
        <w:t xml:space="preserve">Quá trình phát triển chăn nuôi giữa các khu vực của tỉnh hiện nay còn có sự khác biệt rõ rệt; khu vực </w:t>
      </w:r>
      <w:r w:rsidR="00610077">
        <w:rPr>
          <w:sz w:val="28"/>
          <w:szCs w:val="28"/>
        </w:rPr>
        <w:t>Phía Nam của tỉnh</w:t>
      </w:r>
      <w:r w:rsidR="009078A1" w:rsidRPr="009078A1">
        <w:rPr>
          <w:sz w:val="28"/>
          <w:szCs w:val="28"/>
        </w:rPr>
        <w:t xml:space="preserve"> có mật độ chăn nuôi cao tại nhiều địa phương, trong khi khu vực </w:t>
      </w:r>
      <w:r w:rsidR="00610077">
        <w:rPr>
          <w:sz w:val="28"/>
          <w:szCs w:val="28"/>
        </w:rPr>
        <w:t xml:space="preserve">Phía Bắc (Bắc Kạn </w:t>
      </w:r>
      <w:r w:rsidR="009078A1" w:rsidRPr="009078A1">
        <w:rPr>
          <w:sz w:val="28"/>
          <w:szCs w:val="28"/>
        </w:rPr>
        <w:t xml:space="preserve">cũ) vẫn còn dư địa phát triển chăn nuôi hàng hóa tập trung. Vì vậy, việc xây dựng quy định mật độ chăn nuôi phù hợp với điều kiện thực tế từng khu vực là cần thiết nhằm phân bố hợp lý không gian phát triển chăn nuôi trên phạm vi toàn tỉnh. </w:t>
      </w:r>
    </w:p>
    <w:p w14:paraId="02987FF5" w14:textId="77777777" w:rsidR="009078A1" w:rsidRPr="009078A1" w:rsidRDefault="009078A1" w:rsidP="00610077">
      <w:pPr>
        <w:spacing w:after="120"/>
        <w:ind w:firstLine="720"/>
        <w:outlineLvl w:val="1"/>
        <w:rPr>
          <w:b/>
          <w:bCs/>
          <w:sz w:val="28"/>
          <w:szCs w:val="28"/>
        </w:rPr>
      </w:pPr>
      <w:r w:rsidRPr="009078A1">
        <w:rPr>
          <w:b/>
          <w:bCs/>
          <w:sz w:val="28"/>
          <w:szCs w:val="28"/>
        </w:rPr>
        <w:t>III. ĐỀ XUẤT, KIẾN NGHỊ</w:t>
      </w:r>
    </w:p>
    <w:p w14:paraId="2F717BCC" w14:textId="77777777" w:rsidR="00610077" w:rsidRPr="00610077" w:rsidRDefault="00610077" w:rsidP="00610077">
      <w:pPr>
        <w:spacing w:after="120"/>
        <w:ind w:firstLine="720"/>
        <w:jc w:val="both"/>
        <w:rPr>
          <w:sz w:val="28"/>
          <w:szCs w:val="28"/>
        </w:rPr>
      </w:pPr>
      <w:r w:rsidRPr="00610077">
        <w:rPr>
          <w:sz w:val="28"/>
          <w:szCs w:val="28"/>
        </w:rPr>
        <w:t>Hiện nay tỉnh Thái Nguyên được hình thành trên cơ sở sắp xếp, hợp nhất địa giới hành chính của tỉnh Thái Nguyên và tỉnh Bắc Kạn (cũ). Trong đó, Quyết định số 28/2022/QĐ-UBND ngày 16/12/2022 của UBND tỉnh Thái Nguyên (cũ) quy định mật độ chăn nuôi trên địa bàn tỉnh Thái Nguyên đến năm 2030 đã được bãi bỏ; Quyết định số 24/2020/QĐ-UBND ngày 07/12/2020 của UBND tỉnh Bắc Kạn (cũ) hiện không còn phù hợp để áp dụng thống nhất trên phạm vi toàn tỉnh sau sắp xếp đơn vị hành chính.</w:t>
      </w:r>
    </w:p>
    <w:p w14:paraId="2FA717E1" w14:textId="77777777" w:rsidR="00610077" w:rsidRPr="00610077" w:rsidRDefault="00610077" w:rsidP="00610077">
      <w:pPr>
        <w:spacing w:after="120"/>
        <w:ind w:firstLine="720"/>
        <w:jc w:val="both"/>
        <w:rPr>
          <w:sz w:val="28"/>
          <w:szCs w:val="28"/>
        </w:rPr>
      </w:pPr>
      <w:r w:rsidRPr="00610077">
        <w:rPr>
          <w:sz w:val="28"/>
          <w:szCs w:val="28"/>
        </w:rPr>
        <w:t>Do đó, việc xây dựng và ban hành quy định mới về mật độ chăn nuôi áp dụng chung trên địa bàn tỉnh là cần thiết nhằm tạo cơ sở pháp lý thống nhất trong công tác quản lý nhà nước; định hướng phân bố không gian phát triển chăn nuôi phù hợp với điều kiện thực tế từng khu vực; khuyến khích phát triển chăn nuôi tập trung, ứng dụng công nghệ cao, an toàn sinh học gắn với bảo vệ môi trường và phát triển bền vững.</w:t>
      </w:r>
    </w:p>
    <w:p w14:paraId="384BEA41" w14:textId="77777777" w:rsidR="00610077" w:rsidRDefault="009078A1" w:rsidP="00610077">
      <w:pPr>
        <w:spacing w:after="120"/>
        <w:ind w:firstLine="720"/>
        <w:jc w:val="both"/>
        <w:rPr>
          <w:sz w:val="28"/>
          <w:szCs w:val="28"/>
        </w:rPr>
      </w:pPr>
      <w:r w:rsidRPr="009078A1">
        <w:rPr>
          <w:sz w:val="28"/>
          <w:szCs w:val="28"/>
        </w:rPr>
        <w:lastRenderedPageBreak/>
        <w:t>Để nâng cao hiệu quả quản lý nhà nước về chăn nuôi và phát triển ngành chăn nuôi bền vững, Sở Nông nghiệp và Môi trường đề xuất:</w:t>
      </w:r>
    </w:p>
    <w:p w14:paraId="53669F72" w14:textId="77777777" w:rsidR="00610077" w:rsidRPr="004B0D8E" w:rsidRDefault="00610077" w:rsidP="00610077">
      <w:pPr>
        <w:spacing w:after="120"/>
        <w:ind w:firstLine="720"/>
        <w:jc w:val="both"/>
        <w:rPr>
          <w:sz w:val="28"/>
          <w:szCs w:val="28"/>
        </w:rPr>
      </w:pPr>
      <w:r w:rsidRPr="004B0D8E">
        <w:rPr>
          <w:sz w:val="28"/>
          <w:szCs w:val="28"/>
        </w:rPr>
        <w:t xml:space="preserve">1. </w:t>
      </w:r>
      <w:r w:rsidR="004B0D8E" w:rsidRPr="004B0D8E">
        <w:rPr>
          <w:sz w:val="28"/>
          <w:szCs w:val="28"/>
        </w:rPr>
        <w:t>UBND tỉnh xem xét ban hành quy định mật độ chăn nuôi trên địa bàn tỉnh Thái Nguyên đến năm 2030 bảo đảm thống nhất trên phạm vi toàn tỉnh, phù hợp với định hướng phát triển ngành chăn nuôi, điều kiện sử dụng đất nông nghiệp và yêu cầu bảo vệ môi trường.</w:t>
      </w:r>
    </w:p>
    <w:p w14:paraId="22FFBE78" w14:textId="77777777" w:rsidR="00610077" w:rsidRPr="00610077" w:rsidRDefault="00610077" w:rsidP="00610077">
      <w:pPr>
        <w:spacing w:after="120"/>
        <w:ind w:firstLine="720"/>
        <w:jc w:val="both"/>
        <w:rPr>
          <w:sz w:val="28"/>
          <w:szCs w:val="28"/>
        </w:rPr>
      </w:pPr>
      <w:r w:rsidRPr="00610077">
        <w:rPr>
          <w:sz w:val="28"/>
          <w:szCs w:val="28"/>
        </w:rPr>
        <w:t xml:space="preserve">2. </w:t>
      </w:r>
      <w:r w:rsidR="009078A1" w:rsidRPr="009078A1">
        <w:rPr>
          <w:sz w:val="28"/>
          <w:szCs w:val="28"/>
        </w:rPr>
        <w:t xml:space="preserve">Tăng cường quản lý phát triển chăn nuôi theo hướng: </w:t>
      </w:r>
    </w:p>
    <w:p w14:paraId="483AC434" w14:textId="77777777" w:rsidR="00610077" w:rsidRPr="00610077" w:rsidRDefault="00610077" w:rsidP="00610077">
      <w:pPr>
        <w:spacing w:after="120"/>
        <w:ind w:firstLine="720"/>
        <w:jc w:val="both"/>
        <w:rPr>
          <w:sz w:val="28"/>
          <w:szCs w:val="28"/>
        </w:rPr>
      </w:pPr>
      <w:r w:rsidRPr="00610077">
        <w:rPr>
          <w:sz w:val="28"/>
          <w:szCs w:val="28"/>
        </w:rPr>
        <w:t xml:space="preserve">- </w:t>
      </w:r>
      <w:r w:rsidR="009078A1" w:rsidRPr="009078A1">
        <w:rPr>
          <w:sz w:val="28"/>
          <w:szCs w:val="28"/>
        </w:rPr>
        <w:t xml:space="preserve">Khuyến khích phát triển chăn nuôi tập trung, quy mô trang trại, ứng dụng công nghệ cao, an toàn sinh học; </w:t>
      </w:r>
    </w:p>
    <w:p w14:paraId="1185EB17" w14:textId="77777777" w:rsidR="00610077" w:rsidRPr="00610077" w:rsidRDefault="00610077" w:rsidP="00610077">
      <w:pPr>
        <w:spacing w:after="120"/>
        <w:ind w:firstLine="720"/>
        <w:jc w:val="both"/>
        <w:rPr>
          <w:sz w:val="28"/>
          <w:szCs w:val="28"/>
        </w:rPr>
      </w:pPr>
      <w:r w:rsidRPr="00610077">
        <w:rPr>
          <w:sz w:val="28"/>
          <w:szCs w:val="28"/>
        </w:rPr>
        <w:t xml:space="preserve">- </w:t>
      </w:r>
      <w:r w:rsidR="009078A1" w:rsidRPr="009078A1">
        <w:rPr>
          <w:sz w:val="28"/>
          <w:szCs w:val="28"/>
        </w:rPr>
        <w:t xml:space="preserve">Hạn chế phát triển chăn nuôi tại khu vực có mật độ chăn nuôi quá cao, khu vực không bảo đảm điều kiện môi trường; </w:t>
      </w:r>
    </w:p>
    <w:p w14:paraId="59988FEB" w14:textId="77777777" w:rsidR="00610077" w:rsidRPr="00610077" w:rsidRDefault="00610077" w:rsidP="00610077">
      <w:pPr>
        <w:spacing w:after="120"/>
        <w:ind w:firstLine="720"/>
        <w:jc w:val="both"/>
        <w:rPr>
          <w:sz w:val="28"/>
          <w:szCs w:val="28"/>
        </w:rPr>
      </w:pPr>
      <w:r w:rsidRPr="00610077">
        <w:rPr>
          <w:sz w:val="28"/>
          <w:szCs w:val="28"/>
        </w:rPr>
        <w:t xml:space="preserve">- </w:t>
      </w:r>
      <w:r w:rsidR="009078A1" w:rsidRPr="009078A1">
        <w:rPr>
          <w:sz w:val="28"/>
          <w:szCs w:val="28"/>
        </w:rPr>
        <w:t xml:space="preserve">Từng bước giảm chăn nuôi nhỏ lẻ trong khu dân cư. </w:t>
      </w:r>
    </w:p>
    <w:p w14:paraId="4CD61DE9" w14:textId="77777777" w:rsidR="00610077" w:rsidRPr="00610077" w:rsidRDefault="00610077" w:rsidP="00610077">
      <w:pPr>
        <w:spacing w:after="120"/>
        <w:ind w:firstLine="720"/>
        <w:jc w:val="both"/>
        <w:rPr>
          <w:sz w:val="28"/>
          <w:szCs w:val="28"/>
        </w:rPr>
      </w:pPr>
      <w:r w:rsidRPr="00610077">
        <w:rPr>
          <w:sz w:val="28"/>
          <w:szCs w:val="28"/>
        </w:rPr>
        <w:t xml:space="preserve">3. </w:t>
      </w:r>
      <w:r w:rsidR="009078A1" w:rsidRPr="009078A1">
        <w:rPr>
          <w:sz w:val="28"/>
          <w:szCs w:val="28"/>
        </w:rPr>
        <w:t xml:space="preserve">Tiếp tục hỗ trợ người chăn nuôi ứng dụng công nghệ xử lý chất thải, xây dựng mô hình kinh tế tuần hoàn trong chăn nuôi; nâng cao hiệu quả sử dụng tài nguyên và giảm thiểu ô nhiễm môi trường. </w:t>
      </w:r>
    </w:p>
    <w:p w14:paraId="4D4650EE" w14:textId="7AE5CDF0" w:rsidR="009078A1" w:rsidRPr="009078A1" w:rsidRDefault="00610077" w:rsidP="00610077">
      <w:pPr>
        <w:spacing w:after="120"/>
        <w:ind w:firstLine="720"/>
        <w:jc w:val="both"/>
        <w:rPr>
          <w:sz w:val="28"/>
          <w:szCs w:val="28"/>
        </w:rPr>
      </w:pPr>
      <w:r w:rsidRPr="00610077">
        <w:rPr>
          <w:sz w:val="28"/>
          <w:szCs w:val="28"/>
        </w:rPr>
        <w:t xml:space="preserve">4. </w:t>
      </w:r>
      <w:r w:rsidR="009078A1" w:rsidRPr="009078A1">
        <w:rPr>
          <w:sz w:val="28"/>
          <w:szCs w:val="28"/>
        </w:rPr>
        <w:t>Tăng cường công tác thống kê, cập nhật</w:t>
      </w:r>
      <w:r w:rsidR="00153E87">
        <w:rPr>
          <w:sz w:val="28"/>
          <w:szCs w:val="28"/>
        </w:rPr>
        <w:t xml:space="preserve"> phần mềm </w:t>
      </w:r>
      <w:r w:rsidR="00153E87" w:rsidRPr="00501619">
        <w:rPr>
          <w:sz w:val="28"/>
          <w:szCs w:val="28"/>
        </w:rPr>
        <w:t>cơ sở</w:t>
      </w:r>
      <w:r w:rsidR="009078A1" w:rsidRPr="00501619">
        <w:rPr>
          <w:sz w:val="28"/>
          <w:szCs w:val="28"/>
        </w:rPr>
        <w:t xml:space="preserve"> </w:t>
      </w:r>
      <w:r w:rsidR="009078A1" w:rsidRPr="009078A1">
        <w:rPr>
          <w:sz w:val="28"/>
          <w:szCs w:val="28"/>
        </w:rPr>
        <w:t xml:space="preserve">dữ liệu chăn nuôi; nâng cao hiệu quả phối hợp giữa các cơ quan chuyên môn và chính quyền địa phương trong công tác quản lý mật độ chăn nuôi trên địa bàn. </w:t>
      </w:r>
    </w:p>
    <w:p w14:paraId="1D9B99C6" w14:textId="71B89B17" w:rsidR="009078A1" w:rsidRPr="009078A1" w:rsidRDefault="009078A1" w:rsidP="004B0D8E">
      <w:pPr>
        <w:spacing w:after="120"/>
        <w:ind w:firstLine="720"/>
        <w:jc w:val="both"/>
        <w:rPr>
          <w:sz w:val="28"/>
          <w:szCs w:val="28"/>
        </w:rPr>
      </w:pPr>
      <w:r w:rsidRPr="009078A1">
        <w:rPr>
          <w:sz w:val="28"/>
          <w:szCs w:val="28"/>
        </w:rPr>
        <w:t xml:space="preserve">Trên đây là Báo cáo tổng kết đánh giá việc thực hiện quy định về mật độ chăn nuôi trên địa bàn tỉnh Thái Nguyên giai đoạn </w:t>
      </w:r>
      <w:r w:rsidRPr="00501619">
        <w:rPr>
          <w:sz w:val="28"/>
          <w:szCs w:val="28"/>
        </w:rPr>
        <w:t>202</w:t>
      </w:r>
      <w:r w:rsidR="00501619" w:rsidRPr="00501619">
        <w:rPr>
          <w:sz w:val="28"/>
          <w:szCs w:val="28"/>
        </w:rPr>
        <w:t>1</w:t>
      </w:r>
      <w:r w:rsidRPr="00501619">
        <w:rPr>
          <w:sz w:val="28"/>
          <w:szCs w:val="28"/>
        </w:rPr>
        <w:t xml:space="preserve">-2025. </w:t>
      </w:r>
      <w:r w:rsidRPr="009078A1">
        <w:rPr>
          <w:sz w:val="28"/>
          <w:szCs w:val="28"/>
        </w:rPr>
        <w:t>Sở Nông nghiệp và Môi trường trân trọng báo cáo UBND tỉnh xem xét./.</w:t>
      </w:r>
    </w:p>
    <w:tbl>
      <w:tblPr>
        <w:tblStyle w:val="LiBang"/>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32"/>
      </w:tblGrid>
      <w:tr w:rsidR="00427E83" w:rsidRPr="00A9256D" w14:paraId="25108D9C" w14:textId="77777777" w:rsidTr="00BB0493">
        <w:tc>
          <w:tcPr>
            <w:tcW w:w="5240" w:type="dxa"/>
          </w:tcPr>
          <w:p w14:paraId="46FDBDE3" w14:textId="15641DFA" w:rsidR="00427E83" w:rsidRPr="00A9256D" w:rsidRDefault="00427E83" w:rsidP="00BB0493">
            <w:pPr>
              <w:ind w:firstLine="0"/>
              <w:jc w:val="left"/>
            </w:pPr>
          </w:p>
        </w:tc>
        <w:tc>
          <w:tcPr>
            <w:tcW w:w="3832" w:type="dxa"/>
          </w:tcPr>
          <w:p w14:paraId="42B7ED1F" w14:textId="74A913A9" w:rsidR="00427E83" w:rsidRPr="00501619" w:rsidRDefault="00427E83" w:rsidP="00BB0493">
            <w:pPr>
              <w:jc w:val="both"/>
              <w:rPr>
                <w:b/>
                <w:bCs/>
                <w:sz w:val="28"/>
                <w:szCs w:val="28"/>
              </w:rPr>
            </w:pPr>
          </w:p>
        </w:tc>
      </w:tr>
    </w:tbl>
    <w:p w14:paraId="7566F633" w14:textId="77777777" w:rsidR="009078A1" w:rsidRDefault="009078A1" w:rsidP="002E0DE0">
      <w:pPr>
        <w:widowControl w:val="0"/>
        <w:spacing w:before="120" w:after="240"/>
        <w:ind w:firstLine="567"/>
        <w:jc w:val="both"/>
        <w:rPr>
          <w:b/>
          <w:sz w:val="28"/>
          <w:szCs w:val="28"/>
        </w:rPr>
      </w:pPr>
    </w:p>
    <w:sectPr w:rsidR="009078A1" w:rsidSect="00012714">
      <w:headerReference w:type="default" r:id="rId9"/>
      <w:pgSz w:w="11907" w:h="16840" w:code="9"/>
      <w:pgMar w:top="1134" w:right="96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BD049" w14:textId="77777777" w:rsidR="0025506E" w:rsidRDefault="0025506E" w:rsidP="00046394">
      <w:r>
        <w:separator/>
      </w:r>
    </w:p>
  </w:endnote>
  <w:endnote w:type="continuationSeparator" w:id="0">
    <w:p w14:paraId="488CDD21" w14:textId="77777777" w:rsidR="0025506E" w:rsidRDefault="0025506E" w:rsidP="0004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128E2" w14:textId="77777777" w:rsidR="0025506E" w:rsidRDefault="0025506E" w:rsidP="00046394">
      <w:r>
        <w:separator/>
      </w:r>
    </w:p>
  </w:footnote>
  <w:footnote w:type="continuationSeparator" w:id="0">
    <w:p w14:paraId="115BC9F3" w14:textId="77777777" w:rsidR="0025506E" w:rsidRDefault="0025506E" w:rsidP="000463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543828"/>
      <w:docPartObj>
        <w:docPartGallery w:val="Page Numbers (Top of Page)"/>
        <w:docPartUnique/>
      </w:docPartObj>
    </w:sdtPr>
    <w:sdtEndPr>
      <w:rPr>
        <w:noProof/>
      </w:rPr>
    </w:sdtEndPr>
    <w:sdtContent>
      <w:p w14:paraId="7CD97511" w14:textId="389EB1E9" w:rsidR="009E605E" w:rsidRDefault="009E605E">
        <w:pPr>
          <w:pStyle w:val="utrang"/>
          <w:jc w:val="center"/>
        </w:pPr>
        <w:r>
          <w:fldChar w:fldCharType="begin"/>
        </w:r>
        <w:r>
          <w:instrText xml:space="preserve"> PAGE   \* MERGEFORMAT </w:instrText>
        </w:r>
        <w:r>
          <w:fldChar w:fldCharType="separate"/>
        </w:r>
        <w:r w:rsidR="005D5809">
          <w:rPr>
            <w:noProof/>
          </w:rPr>
          <w:t>2</w:t>
        </w:r>
        <w:r>
          <w:rPr>
            <w:noProof/>
          </w:rPr>
          <w:fldChar w:fldCharType="end"/>
        </w:r>
      </w:p>
    </w:sdtContent>
  </w:sdt>
  <w:p w14:paraId="3D6D0C41" w14:textId="77777777" w:rsidR="009E605E" w:rsidRDefault="009E605E">
    <w:pPr>
      <w:pStyle w:val="utra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79A5"/>
    <w:multiLevelType w:val="multilevel"/>
    <w:tmpl w:val="EAE0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D651D3"/>
    <w:multiLevelType w:val="hybridMultilevel"/>
    <w:tmpl w:val="562A24C8"/>
    <w:lvl w:ilvl="0" w:tplc="B79AFF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A8E6E03"/>
    <w:multiLevelType w:val="hybridMultilevel"/>
    <w:tmpl w:val="4A2E1D58"/>
    <w:lvl w:ilvl="0" w:tplc="1DAE16F6">
      <w:start w:val="1"/>
      <w:numFmt w:val="decimal"/>
      <w:lvlText w:val="(%1)"/>
      <w:lvlJc w:val="left"/>
      <w:pPr>
        <w:ind w:left="927" w:hanging="360"/>
      </w:pPr>
      <w:rPr>
        <w:rFonts w:hint="default"/>
        <w:b/>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BD1331F"/>
    <w:multiLevelType w:val="multilevel"/>
    <w:tmpl w:val="EB20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082C30"/>
    <w:multiLevelType w:val="multilevel"/>
    <w:tmpl w:val="C4E4D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121E8F"/>
    <w:multiLevelType w:val="multilevel"/>
    <w:tmpl w:val="FE70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C04D05"/>
    <w:multiLevelType w:val="hybridMultilevel"/>
    <w:tmpl w:val="C2C22478"/>
    <w:lvl w:ilvl="0" w:tplc="6FAA684E">
      <w:start w:val="1"/>
      <w:numFmt w:val="decimal"/>
      <w:lvlText w:val="(%1)"/>
      <w:lvlJc w:val="left"/>
      <w:pPr>
        <w:ind w:left="927" w:hanging="360"/>
      </w:pPr>
      <w:rPr>
        <w:rFonts w:hint="default"/>
        <w:b/>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6EC42A2B"/>
    <w:multiLevelType w:val="multilevel"/>
    <w:tmpl w:val="BBDA2B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2707DD"/>
    <w:multiLevelType w:val="multilevel"/>
    <w:tmpl w:val="C060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0"/>
  </w:num>
  <w:num w:numId="5">
    <w:abstractNumId w:val="8"/>
  </w:num>
  <w:num w:numId="6">
    <w:abstractNumId w:val="3"/>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308"/>
    <w:rsid w:val="00000BF9"/>
    <w:rsid w:val="00002695"/>
    <w:rsid w:val="00004BAF"/>
    <w:rsid w:val="00011C5E"/>
    <w:rsid w:val="00012714"/>
    <w:rsid w:val="0001753F"/>
    <w:rsid w:val="00022F0E"/>
    <w:rsid w:val="00024448"/>
    <w:rsid w:val="0002624B"/>
    <w:rsid w:val="0003108D"/>
    <w:rsid w:val="00034D7E"/>
    <w:rsid w:val="000370E3"/>
    <w:rsid w:val="0004325A"/>
    <w:rsid w:val="000461C0"/>
    <w:rsid w:val="00046394"/>
    <w:rsid w:val="000507FB"/>
    <w:rsid w:val="00052D8C"/>
    <w:rsid w:val="000548DB"/>
    <w:rsid w:val="0006336F"/>
    <w:rsid w:val="000635AE"/>
    <w:rsid w:val="00063884"/>
    <w:rsid w:val="00070603"/>
    <w:rsid w:val="0007157A"/>
    <w:rsid w:val="000760ED"/>
    <w:rsid w:val="00082346"/>
    <w:rsid w:val="000903EB"/>
    <w:rsid w:val="00093B5F"/>
    <w:rsid w:val="00097B25"/>
    <w:rsid w:val="000A055E"/>
    <w:rsid w:val="000A39FF"/>
    <w:rsid w:val="000C1151"/>
    <w:rsid w:val="000C2A5B"/>
    <w:rsid w:val="000C3B3A"/>
    <w:rsid w:val="000D177C"/>
    <w:rsid w:val="000E0AA7"/>
    <w:rsid w:val="000E24B2"/>
    <w:rsid w:val="000E4377"/>
    <w:rsid w:val="000E5698"/>
    <w:rsid w:val="000E5A5A"/>
    <w:rsid w:val="000E5C39"/>
    <w:rsid w:val="000F0642"/>
    <w:rsid w:val="000F3236"/>
    <w:rsid w:val="001029C6"/>
    <w:rsid w:val="001147DC"/>
    <w:rsid w:val="001153F8"/>
    <w:rsid w:val="001162D2"/>
    <w:rsid w:val="0011785D"/>
    <w:rsid w:val="0012248C"/>
    <w:rsid w:val="00123189"/>
    <w:rsid w:val="00126499"/>
    <w:rsid w:val="00127DE8"/>
    <w:rsid w:val="00131CC0"/>
    <w:rsid w:val="001323F4"/>
    <w:rsid w:val="001348DD"/>
    <w:rsid w:val="00140636"/>
    <w:rsid w:val="001406C2"/>
    <w:rsid w:val="00142397"/>
    <w:rsid w:val="001433D0"/>
    <w:rsid w:val="00146470"/>
    <w:rsid w:val="001502A5"/>
    <w:rsid w:val="0015069F"/>
    <w:rsid w:val="001509A6"/>
    <w:rsid w:val="0015235B"/>
    <w:rsid w:val="00153E87"/>
    <w:rsid w:val="00160BBB"/>
    <w:rsid w:val="001617CE"/>
    <w:rsid w:val="001622C1"/>
    <w:rsid w:val="00170D66"/>
    <w:rsid w:val="00173A53"/>
    <w:rsid w:val="00184EAB"/>
    <w:rsid w:val="00191BD1"/>
    <w:rsid w:val="00194E19"/>
    <w:rsid w:val="001954A7"/>
    <w:rsid w:val="00196C46"/>
    <w:rsid w:val="001B57E1"/>
    <w:rsid w:val="001B79F3"/>
    <w:rsid w:val="001B7AD8"/>
    <w:rsid w:val="001C1D3E"/>
    <w:rsid w:val="001C4788"/>
    <w:rsid w:val="001D0B37"/>
    <w:rsid w:val="001D76E6"/>
    <w:rsid w:val="001E1C01"/>
    <w:rsid w:val="001E1EA2"/>
    <w:rsid w:val="001E209C"/>
    <w:rsid w:val="001E2C58"/>
    <w:rsid w:val="001E504C"/>
    <w:rsid w:val="001E6A08"/>
    <w:rsid w:val="001F3ED3"/>
    <w:rsid w:val="002029FF"/>
    <w:rsid w:val="00204AFE"/>
    <w:rsid w:val="00211178"/>
    <w:rsid w:val="002234BC"/>
    <w:rsid w:val="00224BCB"/>
    <w:rsid w:val="002253EC"/>
    <w:rsid w:val="00230965"/>
    <w:rsid w:val="00236659"/>
    <w:rsid w:val="0023676B"/>
    <w:rsid w:val="00240ED7"/>
    <w:rsid w:val="00244235"/>
    <w:rsid w:val="00245962"/>
    <w:rsid w:val="0024799A"/>
    <w:rsid w:val="00247F72"/>
    <w:rsid w:val="0025383A"/>
    <w:rsid w:val="0025506E"/>
    <w:rsid w:val="0025706D"/>
    <w:rsid w:val="00257BBD"/>
    <w:rsid w:val="002609ED"/>
    <w:rsid w:val="00260B88"/>
    <w:rsid w:val="00273A6D"/>
    <w:rsid w:val="00276B7C"/>
    <w:rsid w:val="00281BC8"/>
    <w:rsid w:val="002850D0"/>
    <w:rsid w:val="00285739"/>
    <w:rsid w:val="00287114"/>
    <w:rsid w:val="0029046F"/>
    <w:rsid w:val="00292998"/>
    <w:rsid w:val="002A4D82"/>
    <w:rsid w:val="002B47BF"/>
    <w:rsid w:val="002B63E3"/>
    <w:rsid w:val="002B6DA2"/>
    <w:rsid w:val="002C531B"/>
    <w:rsid w:val="002D25E8"/>
    <w:rsid w:val="002D50D4"/>
    <w:rsid w:val="002D777F"/>
    <w:rsid w:val="002E0DE0"/>
    <w:rsid w:val="002E53A9"/>
    <w:rsid w:val="002E5920"/>
    <w:rsid w:val="002E6B34"/>
    <w:rsid w:val="002F0B12"/>
    <w:rsid w:val="002F2647"/>
    <w:rsid w:val="00300339"/>
    <w:rsid w:val="00300FA9"/>
    <w:rsid w:val="00317123"/>
    <w:rsid w:val="003211EA"/>
    <w:rsid w:val="003228DE"/>
    <w:rsid w:val="00323AF3"/>
    <w:rsid w:val="00324FEE"/>
    <w:rsid w:val="003307A7"/>
    <w:rsid w:val="0033133F"/>
    <w:rsid w:val="00342DA8"/>
    <w:rsid w:val="00344F51"/>
    <w:rsid w:val="0035149B"/>
    <w:rsid w:val="00353275"/>
    <w:rsid w:val="00354A3B"/>
    <w:rsid w:val="00360A81"/>
    <w:rsid w:val="003621DE"/>
    <w:rsid w:val="00366D69"/>
    <w:rsid w:val="00372D0B"/>
    <w:rsid w:val="00374151"/>
    <w:rsid w:val="0037507B"/>
    <w:rsid w:val="00384AFC"/>
    <w:rsid w:val="003876AB"/>
    <w:rsid w:val="003A01AE"/>
    <w:rsid w:val="003A06AC"/>
    <w:rsid w:val="003A36A5"/>
    <w:rsid w:val="003B7CEE"/>
    <w:rsid w:val="003C17CF"/>
    <w:rsid w:val="003C2A51"/>
    <w:rsid w:val="003C3C23"/>
    <w:rsid w:val="003C46B6"/>
    <w:rsid w:val="003C4B3B"/>
    <w:rsid w:val="003C4E4C"/>
    <w:rsid w:val="003C6697"/>
    <w:rsid w:val="003C6D0F"/>
    <w:rsid w:val="003E238C"/>
    <w:rsid w:val="003E24A3"/>
    <w:rsid w:val="003F4D19"/>
    <w:rsid w:val="003F65E6"/>
    <w:rsid w:val="003F7979"/>
    <w:rsid w:val="00402E26"/>
    <w:rsid w:val="004055A1"/>
    <w:rsid w:val="00411FA3"/>
    <w:rsid w:val="00421847"/>
    <w:rsid w:val="00421BA3"/>
    <w:rsid w:val="0042464D"/>
    <w:rsid w:val="00427E83"/>
    <w:rsid w:val="00430B56"/>
    <w:rsid w:val="004371D3"/>
    <w:rsid w:val="004408B6"/>
    <w:rsid w:val="00442A65"/>
    <w:rsid w:val="0044780F"/>
    <w:rsid w:val="004502C2"/>
    <w:rsid w:val="00453A55"/>
    <w:rsid w:val="00456476"/>
    <w:rsid w:val="00461302"/>
    <w:rsid w:val="00462D62"/>
    <w:rsid w:val="004631BC"/>
    <w:rsid w:val="004724F0"/>
    <w:rsid w:val="00482EFA"/>
    <w:rsid w:val="00483294"/>
    <w:rsid w:val="00494E08"/>
    <w:rsid w:val="0049685E"/>
    <w:rsid w:val="004A092F"/>
    <w:rsid w:val="004A3112"/>
    <w:rsid w:val="004B099D"/>
    <w:rsid w:val="004B0D8E"/>
    <w:rsid w:val="004B28F2"/>
    <w:rsid w:val="004B46A4"/>
    <w:rsid w:val="004C0086"/>
    <w:rsid w:val="004C220C"/>
    <w:rsid w:val="004C59E6"/>
    <w:rsid w:val="004C7A85"/>
    <w:rsid w:val="004D5330"/>
    <w:rsid w:val="004D71EB"/>
    <w:rsid w:val="004E0E6E"/>
    <w:rsid w:val="004E2338"/>
    <w:rsid w:val="004E262B"/>
    <w:rsid w:val="004E3FF2"/>
    <w:rsid w:val="004E64AC"/>
    <w:rsid w:val="004E6769"/>
    <w:rsid w:val="004F08BE"/>
    <w:rsid w:val="004F11B9"/>
    <w:rsid w:val="004F41ED"/>
    <w:rsid w:val="004F4D70"/>
    <w:rsid w:val="00501619"/>
    <w:rsid w:val="005106D5"/>
    <w:rsid w:val="00515E11"/>
    <w:rsid w:val="00523EE4"/>
    <w:rsid w:val="005250EE"/>
    <w:rsid w:val="00525149"/>
    <w:rsid w:val="0052700D"/>
    <w:rsid w:val="005353AD"/>
    <w:rsid w:val="00536FA9"/>
    <w:rsid w:val="00540498"/>
    <w:rsid w:val="00541680"/>
    <w:rsid w:val="00541750"/>
    <w:rsid w:val="00551E4F"/>
    <w:rsid w:val="00553B97"/>
    <w:rsid w:val="00554D6F"/>
    <w:rsid w:val="00556ABC"/>
    <w:rsid w:val="00557995"/>
    <w:rsid w:val="00582320"/>
    <w:rsid w:val="00582DA0"/>
    <w:rsid w:val="005924DF"/>
    <w:rsid w:val="005A117B"/>
    <w:rsid w:val="005A32AB"/>
    <w:rsid w:val="005A677B"/>
    <w:rsid w:val="005C3904"/>
    <w:rsid w:val="005D1DA1"/>
    <w:rsid w:val="005D48BC"/>
    <w:rsid w:val="005D5809"/>
    <w:rsid w:val="005D6D4F"/>
    <w:rsid w:val="005E13F6"/>
    <w:rsid w:val="005E6D3D"/>
    <w:rsid w:val="005F2087"/>
    <w:rsid w:val="00600730"/>
    <w:rsid w:val="00600E7D"/>
    <w:rsid w:val="00610077"/>
    <w:rsid w:val="006119F5"/>
    <w:rsid w:val="006160C4"/>
    <w:rsid w:val="00617686"/>
    <w:rsid w:val="00622EA5"/>
    <w:rsid w:val="006270C1"/>
    <w:rsid w:val="0063333A"/>
    <w:rsid w:val="006371EE"/>
    <w:rsid w:val="00643D3D"/>
    <w:rsid w:val="00644941"/>
    <w:rsid w:val="00652170"/>
    <w:rsid w:val="00653A4E"/>
    <w:rsid w:val="00660EEB"/>
    <w:rsid w:val="00662641"/>
    <w:rsid w:val="00664C1A"/>
    <w:rsid w:val="006653C2"/>
    <w:rsid w:val="006658BC"/>
    <w:rsid w:val="00667E8B"/>
    <w:rsid w:val="006723D2"/>
    <w:rsid w:val="006747A9"/>
    <w:rsid w:val="00682C31"/>
    <w:rsid w:val="00683D65"/>
    <w:rsid w:val="006921DE"/>
    <w:rsid w:val="00692611"/>
    <w:rsid w:val="00694FE8"/>
    <w:rsid w:val="00696C17"/>
    <w:rsid w:val="006A3C33"/>
    <w:rsid w:val="006A5AF6"/>
    <w:rsid w:val="006B0255"/>
    <w:rsid w:val="006B43FC"/>
    <w:rsid w:val="006B46A4"/>
    <w:rsid w:val="006B5514"/>
    <w:rsid w:val="006B6CF0"/>
    <w:rsid w:val="006C1189"/>
    <w:rsid w:val="006C2043"/>
    <w:rsid w:val="006C4121"/>
    <w:rsid w:val="006C4CA5"/>
    <w:rsid w:val="006C5D7D"/>
    <w:rsid w:val="006D4DB9"/>
    <w:rsid w:val="006E7E05"/>
    <w:rsid w:val="006F145B"/>
    <w:rsid w:val="006F1AE5"/>
    <w:rsid w:val="006F1C7F"/>
    <w:rsid w:val="006F25A4"/>
    <w:rsid w:val="006F4EFE"/>
    <w:rsid w:val="00700677"/>
    <w:rsid w:val="00705C7F"/>
    <w:rsid w:val="00706FEE"/>
    <w:rsid w:val="00712B12"/>
    <w:rsid w:val="007146B5"/>
    <w:rsid w:val="00716146"/>
    <w:rsid w:val="00716E66"/>
    <w:rsid w:val="007178A2"/>
    <w:rsid w:val="00730A3A"/>
    <w:rsid w:val="00731105"/>
    <w:rsid w:val="00736F1B"/>
    <w:rsid w:val="0074086C"/>
    <w:rsid w:val="00743F05"/>
    <w:rsid w:val="00750026"/>
    <w:rsid w:val="00752C05"/>
    <w:rsid w:val="007532CD"/>
    <w:rsid w:val="00756E7B"/>
    <w:rsid w:val="007641DC"/>
    <w:rsid w:val="0076750C"/>
    <w:rsid w:val="0077029B"/>
    <w:rsid w:val="00772FEE"/>
    <w:rsid w:val="00780E55"/>
    <w:rsid w:val="00790694"/>
    <w:rsid w:val="00790DD8"/>
    <w:rsid w:val="007918A1"/>
    <w:rsid w:val="00793A86"/>
    <w:rsid w:val="00793F01"/>
    <w:rsid w:val="00794C1A"/>
    <w:rsid w:val="007954B6"/>
    <w:rsid w:val="007A02FF"/>
    <w:rsid w:val="007A4CF5"/>
    <w:rsid w:val="007B43F3"/>
    <w:rsid w:val="007B4924"/>
    <w:rsid w:val="007B635A"/>
    <w:rsid w:val="007B7AB3"/>
    <w:rsid w:val="007C1638"/>
    <w:rsid w:val="007C26A9"/>
    <w:rsid w:val="007D51D9"/>
    <w:rsid w:val="007E03D4"/>
    <w:rsid w:val="007E0522"/>
    <w:rsid w:val="007E751F"/>
    <w:rsid w:val="007F107A"/>
    <w:rsid w:val="007F1F39"/>
    <w:rsid w:val="007F5B34"/>
    <w:rsid w:val="007F7C2D"/>
    <w:rsid w:val="00800F32"/>
    <w:rsid w:val="008028CC"/>
    <w:rsid w:val="00804B64"/>
    <w:rsid w:val="00804F55"/>
    <w:rsid w:val="00806386"/>
    <w:rsid w:val="00811A41"/>
    <w:rsid w:val="008302F4"/>
    <w:rsid w:val="008307D6"/>
    <w:rsid w:val="00830D29"/>
    <w:rsid w:val="00830D83"/>
    <w:rsid w:val="008334F5"/>
    <w:rsid w:val="00835E75"/>
    <w:rsid w:val="00836414"/>
    <w:rsid w:val="008407E8"/>
    <w:rsid w:val="00843EAA"/>
    <w:rsid w:val="00844A7D"/>
    <w:rsid w:val="00846C2B"/>
    <w:rsid w:val="00857268"/>
    <w:rsid w:val="00870BD0"/>
    <w:rsid w:val="0087580C"/>
    <w:rsid w:val="0088142A"/>
    <w:rsid w:val="00895E5C"/>
    <w:rsid w:val="008A642A"/>
    <w:rsid w:val="008B1717"/>
    <w:rsid w:val="008B36B4"/>
    <w:rsid w:val="008B7393"/>
    <w:rsid w:val="008C4B41"/>
    <w:rsid w:val="008C7CC9"/>
    <w:rsid w:val="008E19D6"/>
    <w:rsid w:val="008E63FA"/>
    <w:rsid w:val="008F0E94"/>
    <w:rsid w:val="008F1306"/>
    <w:rsid w:val="008F3FAE"/>
    <w:rsid w:val="00902515"/>
    <w:rsid w:val="00903B32"/>
    <w:rsid w:val="009078A1"/>
    <w:rsid w:val="00914943"/>
    <w:rsid w:val="0091568A"/>
    <w:rsid w:val="00920F54"/>
    <w:rsid w:val="00921CB7"/>
    <w:rsid w:val="0093407C"/>
    <w:rsid w:val="00934EC7"/>
    <w:rsid w:val="00936CB7"/>
    <w:rsid w:val="009378D8"/>
    <w:rsid w:val="00942EF1"/>
    <w:rsid w:val="00952581"/>
    <w:rsid w:val="009600DD"/>
    <w:rsid w:val="00964D0D"/>
    <w:rsid w:val="009677D2"/>
    <w:rsid w:val="009744FB"/>
    <w:rsid w:val="009764FC"/>
    <w:rsid w:val="00982DE0"/>
    <w:rsid w:val="00984A03"/>
    <w:rsid w:val="00984B01"/>
    <w:rsid w:val="00986105"/>
    <w:rsid w:val="00986B46"/>
    <w:rsid w:val="0098742E"/>
    <w:rsid w:val="00992511"/>
    <w:rsid w:val="009A0376"/>
    <w:rsid w:val="009A0E9A"/>
    <w:rsid w:val="009A55C4"/>
    <w:rsid w:val="009A7953"/>
    <w:rsid w:val="009B0F91"/>
    <w:rsid w:val="009D4234"/>
    <w:rsid w:val="009E3D09"/>
    <w:rsid w:val="009E605E"/>
    <w:rsid w:val="009E6A21"/>
    <w:rsid w:val="009F0AD9"/>
    <w:rsid w:val="009F4602"/>
    <w:rsid w:val="009F513C"/>
    <w:rsid w:val="009F55BA"/>
    <w:rsid w:val="009F690B"/>
    <w:rsid w:val="009F6E05"/>
    <w:rsid w:val="009F6F11"/>
    <w:rsid w:val="00A003EF"/>
    <w:rsid w:val="00A0113F"/>
    <w:rsid w:val="00A01751"/>
    <w:rsid w:val="00A12376"/>
    <w:rsid w:val="00A14206"/>
    <w:rsid w:val="00A15376"/>
    <w:rsid w:val="00A169B0"/>
    <w:rsid w:val="00A36F59"/>
    <w:rsid w:val="00A44336"/>
    <w:rsid w:val="00A50AEA"/>
    <w:rsid w:val="00A526A9"/>
    <w:rsid w:val="00A56FC3"/>
    <w:rsid w:val="00A6296F"/>
    <w:rsid w:val="00A658E4"/>
    <w:rsid w:val="00A66707"/>
    <w:rsid w:val="00A72B4A"/>
    <w:rsid w:val="00A7396F"/>
    <w:rsid w:val="00A75533"/>
    <w:rsid w:val="00A816A3"/>
    <w:rsid w:val="00A81F06"/>
    <w:rsid w:val="00A8348D"/>
    <w:rsid w:val="00A864A9"/>
    <w:rsid w:val="00A9001D"/>
    <w:rsid w:val="00A905C6"/>
    <w:rsid w:val="00A94F24"/>
    <w:rsid w:val="00AB088C"/>
    <w:rsid w:val="00AB1A07"/>
    <w:rsid w:val="00AB2EBF"/>
    <w:rsid w:val="00AC1642"/>
    <w:rsid w:val="00AD168A"/>
    <w:rsid w:val="00AD239F"/>
    <w:rsid w:val="00AD7791"/>
    <w:rsid w:val="00AE480A"/>
    <w:rsid w:val="00AE653A"/>
    <w:rsid w:val="00AE713C"/>
    <w:rsid w:val="00AF1028"/>
    <w:rsid w:val="00AF347F"/>
    <w:rsid w:val="00AF4D0C"/>
    <w:rsid w:val="00AF55FA"/>
    <w:rsid w:val="00AF604C"/>
    <w:rsid w:val="00B01E16"/>
    <w:rsid w:val="00B04641"/>
    <w:rsid w:val="00B05059"/>
    <w:rsid w:val="00B06DD5"/>
    <w:rsid w:val="00B125B3"/>
    <w:rsid w:val="00B17B5C"/>
    <w:rsid w:val="00B25963"/>
    <w:rsid w:val="00B26136"/>
    <w:rsid w:val="00B264E7"/>
    <w:rsid w:val="00B41FC0"/>
    <w:rsid w:val="00B445BB"/>
    <w:rsid w:val="00B522A7"/>
    <w:rsid w:val="00B549C8"/>
    <w:rsid w:val="00B60298"/>
    <w:rsid w:val="00B63053"/>
    <w:rsid w:val="00B75FD5"/>
    <w:rsid w:val="00B81204"/>
    <w:rsid w:val="00B82F64"/>
    <w:rsid w:val="00B8346C"/>
    <w:rsid w:val="00B917D6"/>
    <w:rsid w:val="00B93308"/>
    <w:rsid w:val="00B96B7A"/>
    <w:rsid w:val="00BA15F0"/>
    <w:rsid w:val="00BA72C0"/>
    <w:rsid w:val="00BB0C7B"/>
    <w:rsid w:val="00BB6371"/>
    <w:rsid w:val="00BB7D4C"/>
    <w:rsid w:val="00BC1565"/>
    <w:rsid w:val="00BC27D6"/>
    <w:rsid w:val="00BC5288"/>
    <w:rsid w:val="00BD4CC9"/>
    <w:rsid w:val="00BD5CAD"/>
    <w:rsid w:val="00BD6C32"/>
    <w:rsid w:val="00BE0665"/>
    <w:rsid w:val="00BE0B4E"/>
    <w:rsid w:val="00BE0F25"/>
    <w:rsid w:val="00BE28E2"/>
    <w:rsid w:val="00BE51F1"/>
    <w:rsid w:val="00BF56B6"/>
    <w:rsid w:val="00BF6FF1"/>
    <w:rsid w:val="00C06E0F"/>
    <w:rsid w:val="00C12506"/>
    <w:rsid w:val="00C144F4"/>
    <w:rsid w:val="00C14F41"/>
    <w:rsid w:val="00C15373"/>
    <w:rsid w:val="00C210B8"/>
    <w:rsid w:val="00C300F3"/>
    <w:rsid w:val="00C320C3"/>
    <w:rsid w:val="00C327AF"/>
    <w:rsid w:val="00C33034"/>
    <w:rsid w:val="00C331E8"/>
    <w:rsid w:val="00C332DC"/>
    <w:rsid w:val="00C33776"/>
    <w:rsid w:val="00C34693"/>
    <w:rsid w:val="00C37DB7"/>
    <w:rsid w:val="00C41C6B"/>
    <w:rsid w:val="00C453AB"/>
    <w:rsid w:val="00C45454"/>
    <w:rsid w:val="00C456B3"/>
    <w:rsid w:val="00C54254"/>
    <w:rsid w:val="00C55B4C"/>
    <w:rsid w:val="00C61E63"/>
    <w:rsid w:val="00C647A9"/>
    <w:rsid w:val="00C67C4E"/>
    <w:rsid w:val="00C72F7D"/>
    <w:rsid w:val="00C731F4"/>
    <w:rsid w:val="00C74B32"/>
    <w:rsid w:val="00C75A81"/>
    <w:rsid w:val="00C7607F"/>
    <w:rsid w:val="00C76153"/>
    <w:rsid w:val="00C8176A"/>
    <w:rsid w:val="00C8466E"/>
    <w:rsid w:val="00C86F69"/>
    <w:rsid w:val="00C87665"/>
    <w:rsid w:val="00C9235E"/>
    <w:rsid w:val="00C96A87"/>
    <w:rsid w:val="00CA1D71"/>
    <w:rsid w:val="00CA700E"/>
    <w:rsid w:val="00CB297C"/>
    <w:rsid w:val="00CC2265"/>
    <w:rsid w:val="00CC368B"/>
    <w:rsid w:val="00CD068E"/>
    <w:rsid w:val="00CE1120"/>
    <w:rsid w:val="00CE161E"/>
    <w:rsid w:val="00CE328B"/>
    <w:rsid w:val="00CE6353"/>
    <w:rsid w:val="00CE647B"/>
    <w:rsid w:val="00CF0AB1"/>
    <w:rsid w:val="00CF2C3D"/>
    <w:rsid w:val="00CF33CB"/>
    <w:rsid w:val="00CF62A8"/>
    <w:rsid w:val="00CF661A"/>
    <w:rsid w:val="00CF7414"/>
    <w:rsid w:val="00D05634"/>
    <w:rsid w:val="00D065A2"/>
    <w:rsid w:val="00D1175F"/>
    <w:rsid w:val="00D14D95"/>
    <w:rsid w:val="00D15ED6"/>
    <w:rsid w:val="00D22271"/>
    <w:rsid w:val="00D31ABD"/>
    <w:rsid w:val="00D40C2E"/>
    <w:rsid w:val="00D41A65"/>
    <w:rsid w:val="00D47310"/>
    <w:rsid w:val="00D517D9"/>
    <w:rsid w:val="00D525CB"/>
    <w:rsid w:val="00D553B4"/>
    <w:rsid w:val="00D5632E"/>
    <w:rsid w:val="00D603A3"/>
    <w:rsid w:val="00D627D1"/>
    <w:rsid w:val="00D628FC"/>
    <w:rsid w:val="00D63F57"/>
    <w:rsid w:val="00D64074"/>
    <w:rsid w:val="00D66E79"/>
    <w:rsid w:val="00D80557"/>
    <w:rsid w:val="00D9020E"/>
    <w:rsid w:val="00D907A2"/>
    <w:rsid w:val="00D915F2"/>
    <w:rsid w:val="00DA09AD"/>
    <w:rsid w:val="00DA558A"/>
    <w:rsid w:val="00DB0BCB"/>
    <w:rsid w:val="00DB52C1"/>
    <w:rsid w:val="00DB6628"/>
    <w:rsid w:val="00DC1520"/>
    <w:rsid w:val="00DC1C04"/>
    <w:rsid w:val="00DC43DC"/>
    <w:rsid w:val="00DC5ADA"/>
    <w:rsid w:val="00DD12EB"/>
    <w:rsid w:val="00DD1637"/>
    <w:rsid w:val="00DD2201"/>
    <w:rsid w:val="00DD5EE2"/>
    <w:rsid w:val="00DE0FD9"/>
    <w:rsid w:val="00DE137F"/>
    <w:rsid w:val="00DE21F2"/>
    <w:rsid w:val="00DE3E3C"/>
    <w:rsid w:val="00DF09F6"/>
    <w:rsid w:val="00DF0D6B"/>
    <w:rsid w:val="00E0191D"/>
    <w:rsid w:val="00E218B7"/>
    <w:rsid w:val="00E2568F"/>
    <w:rsid w:val="00E36976"/>
    <w:rsid w:val="00E36E9F"/>
    <w:rsid w:val="00E37D18"/>
    <w:rsid w:val="00E4216E"/>
    <w:rsid w:val="00E47EA1"/>
    <w:rsid w:val="00E51273"/>
    <w:rsid w:val="00E535E7"/>
    <w:rsid w:val="00E55126"/>
    <w:rsid w:val="00E56F4A"/>
    <w:rsid w:val="00E641D9"/>
    <w:rsid w:val="00E71F7B"/>
    <w:rsid w:val="00E754A2"/>
    <w:rsid w:val="00E82642"/>
    <w:rsid w:val="00E83A59"/>
    <w:rsid w:val="00E85A97"/>
    <w:rsid w:val="00E9073F"/>
    <w:rsid w:val="00E95CDA"/>
    <w:rsid w:val="00EA043B"/>
    <w:rsid w:val="00EA6FAD"/>
    <w:rsid w:val="00EC3194"/>
    <w:rsid w:val="00EC545F"/>
    <w:rsid w:val="00ED04B6"/>
    <w:rsid w:val="00ED3A59"/>
    <w:rsid w:val="00ED64D5"/>
    <w:rsid w:val="00ED6EA1"/>
    <w:rsid w:val="00EE4D2D"/>
    <w:rsid w:val="00EE592B"/>
    <w:rsid w:val="00EE5DA5"/>
    <w:rsid w:val="00EF4268"/>
    <w:rsid w:val="00EF6B4D"/>
    <w:rsid w:val="00F021EB"/>
    <w:rsid w:val="00F0268D"/>
    <w:rsid w:val="00F04CDC"/>
    <w:rsid w:val="00F05FE4"/>
    <w:rsid w:val="00F104FB"/>
    <w:rsid w:val="00F11001"/>
    <w:rsid w:val="00F12194"/>
    <w:rsid w:val="00F12636"/>
    <w:rsid w:val="00F13FEB"/>
    <w:rsid w:val="00F147C1"/>
    <w:rsid w:val="00F149C2"/>
    <w:rsid w:val="00F2135A"/>
    <w:rsid w:val="00F21650"/>
    <w:rsid w:val="00F23691"/>
    <w:rsid w:val="00F300D2"/>
    <w:rsid w:val="00F323CF"/>
    <w:rsid w:val="00F44475"/>
    <w:rsid w:val="00F45302"/>
    <w:rsid w:val="00F45E36"/>
    <w:rsid w:val="00F52869"/>
    <w:rsid w:val="00F52DAE"/>
    <w:rsid w:val="00F61262"/>
    <w:rsid w:val="00F62840"/>
    <w:rsid w:val="00F65428"/>
    <w:rsid w:val="00F804F1"/>
    <w:rsid w:val="00F81517"/>
    <w:rsid w:val="00F84435"/>
    <w:rsid w:val="00FB5421"/>
    <w:rsid w:val="00FB6297"/>
    <w:rsid w:val="00FC024A"/>
    <w:rsid w:val="00FC51F9"/>
    <w:rsid w:val="00FD2457"/>
    <w:rsid w:val="00FE5EEF"/>
    <w:rsid w:val="00FE6819"/>
    <w:rsid w:val="00FF2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1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B93308"/>
    <w:pPr>
      <w:spacing w:after="0" w:line="240" w:lineRule="auto"/>
    </w:pPr>
    <w:rPr>
      <w:rFonts w:ascii="Times New Roman" w:eastAsia="Times New Roman" w:hAnsi="Times New Roman" w:cs="Times New Roman"/>
      <w:sz w:val="24"/>
      <w:szCs w:val="24"/>
    </w:rPr>
  </w:style>
  <w:style w:type="paragraph" w:styleId="mc2">
    <w:name w:val="heading 2"/>
    <w:basedOn w:val="Binhthng"/>
    <w:link w:val="mc2Char"/>
    <w:uiPriority w:val="9"/>
    <w:qFormat/>
    <w:rsid w:val="009078A1"/>
    <w:pPr>
      <w:spacing w:before="100" w:beforeAutospacing="1" w:after="100" w:afterAutospacing="1"/>
      <w:outlineLvl w:val="1"/>
    </w:pPr>
    <w:rPr>
      <w:b/>
      <w:bCs/>
      <w:sz w:val="36"/>
      <w:szCs w:val="36"/>
    </w:rPr>
  </w:style>
  <w:style w:type="paragraph" w:styleId="mc3">
    <w:name w:val="heading 3"/>
    <w:basedOn w:val="Binhthng"/>
    <w:link w:val="mc3Char"/>
    <w:uiPriority w:val="9"/>
    <w:qFormat/>
    <w:rsid w:val="009078A1"/>
    <w:pPr>
      <w:spacing w:before="100" w:beforeAutospacing="1" w:after="100" w:afterAutospacing="1"/>
      <w:outlineLvl w:val="2"/>
    </w:pPr>
    <w:rPr>
      <w:b/>
      <w:bCs/>
      <w:sz w:val="27"/>
      <w:szCs w:val="27"/>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customStyle="1" w:styleId="oncaDanhsch1">
    <w:name w:val="Đoạn của Danh sách1"/>
    <w:basedOn w:val="Binhthng"/>
    <w:qFormat/>
    <w:rsid w:val="00B93308"/>
    <w:pPr>
      <w:spacing w:before="120"/>
      <w:ind w:left="720"/>
      <w:contextualSpacing/>
      <w:jc w:val="both"/>
    </w:pPr>
    <w:rPr>
      <w:bCs/>
      <w:noProof/>
      <w:sz w:val="28"/>
      <w:szCs w:val="26"/>
    </w:rPr>
  </w:style>
  <w:style w:type="paragraph" w:styleId="utrang">
    <w:name w:val="header"/>
    <w:basedOn w:val="Binhthng"/>
    <w:link w:val="utrangChar"/>
    <w:uiPriority w:val="99"/>
    <w:unhideWhenUsed/>
    <w:rsid w:val="00046394"/>
    <w:pPr>
      <w:tabs>
        <w:tab w:val="center" w:pos="4680"/>
        <w:tab w:val="right" w:pos="9360"/>
      </w:tabs>
    </w:pPr>
  </w:style>
  <w:style w:type="character" w:customStyle="1" w:styleId="utrangChar">
    <w:name w:val="Đầu trang Char"/>
    <w:basedOn w:val="Phngmcnhcaonvn"/>
    <w:link w:val="utrang"/>
    <w:uiPriority w:val="99"/>
    <w:rsid w:val="00046394"/>
    <w:rPr>
      <w:rFonts w:ascii="Times New Roman" w:eastAsia="Times New Roman" w:hAnsi="Times New Roman" w:cs="Times New Roman"/>
      <w:sz w:val="24"/>
      <w:szCs w:val="24"/>
    </w:rPr>
  </w:style>
  <w:style w:type="paragraph" w:styleId="Chntrang">
    <w:name w:val="footer"/>
    <w:basedOn w:val="Binhthng"/>
    <w:link w:val="ChntrangChar"/>
    <w:uiPriority w:val="99"/>
    <w:unhideWhenUsed/>
    <w:rsid w:val="00046394"/>
    <w:pPr>
      <w:tabs>
        <w:tab w:val="center" w:pos="4680"/>
        <w:tab w:val="right" w:pos="9360"/>
      </w:tabs>
    </w:pPr>
  </w:style>
  <w:style w:type="character" w:customStyle="1" w:styleId="ChntrangChar">
    <w:name w:val="Chân trang Char"/>
    <w:basedOn w:val="Phngmcnhcaonvn"/>
    <w:link w:val="Chntrang"/>
    <w:uiPriority w:val="99"/>
    <w:rsid w:val="00046394"/>
    <w:rPr>
      <w:rFonts w:ascii="Times New Roman" w:eastAsia="Times New Roman" w:hAnsi="Times New Roman" w:cs="Times New Roman"/>
      <w:sz w:val="24"/>
      <w:szCs w:val="24"/>
    </w:rPr>
  </w:style>
  <w:style w:type="paragraph" w:styleId="Bngchthch">
    <w:name w:val="Balloon Text"/>
    <w:basedOn w:val="Binhthng"/>
    <w:link w:val="BngchthchChar"/>
    <w:uiPriority w:val="99"/>
    <w:semiHidden/>
    <w:unhideWhenUsed/>
    <w:rsid w:val="0002624B"/>
    <w:rPr>
      <w:rFonts w:ascii="Segoe UI" w:hAnsi="Segoe UI" w:cs="Segoe UI"/>
      <w:sz w:val="18"/>
      <w:szCs w:val="18"/>
    </w:rPr>
  </w:style>
  <w:style w:type="character" w:customStyle="1" w:styleId="BngchthchChar">
    <w:name w:val="Bóng chú thích Char"/>
    <w:basedOn w:val="Phngmcnhcaonvn"/>
    <w:link w:val="Bngchthch"/>
    <w:uiPriority w:val="99"/>
    <w:semiHidden/>
    <w:rsid w:val="0002624B"/>
    <w:rPr>
      <w:rFonts w:ascii="Segoe UI" w:eastAsia="Times New Roman" w:hAnsi="Segoe UI" w:cs="Segoe UI"/>
      <w:sz w:val="18"/>
      <w:szCs w:val="18"/>
    </w:rPr>
  </w:style>
  <w:style w:type="paragraph" w:styleId="ThngthngWeb">
    <w:name w:val="Normal (Web)"/>
    <w:basedOn w:val="Binhthng"/>
    <w:uiPriority w:val="99"/>
    <w:unhideWhenUsed/>
    <w:rsid w:val="00BE0F25"/>
    <w:pPr>
      <w:spacing w:before="100" w:beforeAutospacing="1" w:after="100" w:afterAutospacing="1"/>
    </w:pPr>
    <w:rPr>
      <w:lang w:val="vi-VN" w:eastAsia="vi-VN"/>
    </w:rPr>
  </w:style>
  <w:style w:type="paragraph" w:styleId="oncaDanhsch">
    <w:name w:val="List Paragraph"/>
    <w:basedOn w:val="Binhthng"/>
    <w:uiPriority w:val="34"/>
    <w:qFormat/>
    <w:rsid w:val="00C12506"/>
    <w:pPr>
      <w:ind w:left="720"/>
      <w:contextualSpacing/>
    </w:pPr>
  </w:style>
  <w:style w:type="character" w:styleId="Mnh">
    <w:name w:val="Strong"/>
    <w:uiPriority w:val="22"/>
    <w:qFormat/>
    <w:rsid w:val="004F08BE"/>
    <w:rPr>
      <w:b/>
      <w:bCs/>
    </w:rPr>
  </w:style>
  <w:style w:type="paragraph" w:styleId="Thnvnban2">
    <w:name w:val="Body Text 2"/>
    <w:basedOn w:val="Binhthng"/>
    <w:link w:val="Thnvnban2Char"/>
    <w:rsid w:val="008B36B4"/>
    <w:pPr>
      <w:ind w:right="283"/>
      <w:jc w:val="both"/>
    </w:pPr>
    <w:rPr>
      <w:rFonts w:ascii=".VnTime" w:hAnsi=".VnTime"/>
      <w:color w:val="0000FF"/>
      <w:sz w:val="28"/>
      <w:szCs w:val="20"/>
    </w:rPr>
  </w:style>
  <w:style w:type="character" w:customStyle="1" w:styleId="Thnvnban2Char">
    <w:name w:val="Thân vãn bản 2 Char"/>
    <w:basedOn w:val="Phngmcnhcaonvn"/>
    <w:link w:val="Thnvnban2"/>
    <w:rsid w:val="008B36B4"/>
    <w:rPr>
      <w:rFonts w:ascii=".VnTime" w:eastAsia="Times New Roman" w:hAnsi=".VnTime" w:cs="Times New Roman"/>
      <w:color w:val="0000FF"/>
      <w:sz w:val="28"/>
      <w:szCs w:val="20"/>
    </w:rPr>
  </w:style>
  <w:style w:type="character" w:customStyle="1" w:styleId="mc2Char">
    <w:name w:val="Đề mục 2 Char"/>
    <w:basedOn w:val="Phngmcnhcaonvn"/>
    <w:link w:val="mc2"/>
    <w:uiPriority w:val="9"/>
    <w:rsid w:val="009078A1"/>
    <w:rPr>
      <w:rFonts w:ascii="Times New Roman" w:eastAsia="Times New Roman" w:hAnsi="Times New Roman" w:cs="Times New Roman"/>
      <w:b/>
      <w:bCs/>
      <w:sz w:val="36"/>
      <w:szCs w:val="36"/>
    </w:rPr>
  </w:style>
  <w:style w:type="character" w:customStyle="1" w:styleId="mc3Char">
    <w:name w:val="Đề mục 3 Char"/>
    <w:basedOn w:val="Phngmcnhcaonvn"/>
    <w:link w:val="mc3"/>
    <w:uiPriority w:val="9"/>
    <w:rsid w:val="009078A1"/>
    <w:rPr>
      <w:rFonts w:ascii="Times New Roman" w:eastAsia="Times New Roman" w:hAnsi="Times New Roman" w:cs="Times New Roman"/>
      <w:b/>
      <w:bCs/>
      <w:sz w:val="27"/>
      <w:szCs w:val="27"/>
    </w:rPr>
  </w:style>
  <w:style w:type="table" w:styleId="LiBang">
    <w:name w:val="Table Grid"/>
    <w:basedOn w:val="BangThngthng"/>
    <w:uiPriority w:val="59"/>
    <w:rsid w:val="00427E83"/>
    <w:pPr>
      <w:spacing w:after="0" w:line="240" w:lineRule="auto"/>
      <w:ind w:firstLine="720"/>
      <w:jc w:val="center"/>
    </w:pPr>
    <w:rPr>
      <w:rFonts w:ascii="Times New Roman" w:hAnsi="Times New Roman" w:cs="Times New Roman"/>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B93308"/>
    <w:pPr>
      <w:spacing w:after="0" w:line="240" w:lineRule="auto"/>
    </w:pPr>
    <w:rPr>
      <w:rFonts w:ascii="Times New Roman" w:eastAsia="Times New Roman" w:hAnsi="Times New Roman" w:cs="Times New Roman"/>
      <w:sz w:val="24"/>
      <w:szCs w:val="24"/>
    </w:rPr>
  </w:style>
  <w:style w:type="paragraph" w:styleId="mc2">
    <w:name w:val="heading 2"/>
    <w:basedOn w:val="Binhthng"/>
    <w:link w:val="mc2Char"/>
    <w:uiPriority w:val="9"/>
    <w:qFormat/>
    <w:rsid w:val="009078A1"/>
    <w:pPr>
      <w:spacing w:before="100" w:beforeAutospacing="1" w:after="100" w:afterAutospacing="1"/>
      <w:outlineLvl w:val="1"/>
    </w:pPr>
    <w:rPr>
      <w:b/>
      <w:bCs/>
      <w:sz w:val="36"/>
      <w:szCs w:val="36"/>
    </w:rPr>
  </w:style>
  <w:style w:type="paragraph" w:styleId="mc3">
    <w:name w:val="heading 3"/>
    <w:basedOn w:val="Binhthng"/>
    <w:link w:val="mc3Char"/>
    <w:uiPriority w:val="9"/>
    <w:qFormat/>
    <w:rsid w:val="009078A1"/>
    <w:pPr>
      <w:spacing w:before="100" w:beforeAutospacing="1" w:after="100" w:afterAutospacing="1"/>
      <w:outlineLvl w:val="2"/>
    </w:pPr>
    <w:rPr>
      <w:b/>
      <w:bCs/>
      <w:sz w:val="27"/>
      <w:szCs w:val="27"/>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customStyle="1" w:styleId="oncaDanhsch1">
    <w:name w:val="Đoạn của Danh sách1"/>
    <w:basedOn w:val="Binhthng"/>
    <w:qFormat/>
    <w:rsid w:val="00B93308"/>
    <w:pPr>
      <w:spacing w:before="120"/>
      <w:ind w:left="720"/>
      <w:contextualSpacing/>
      <w:jc w:val="both"/>
    </w:pPr>
    <w:rPr>
      <w:bCs/>
      <w:noProof/>
      <w:sz w:val="28"/>
      <w:szCs w:val="26"/>
    </w:rPr>
  </w:style>
  <w:style w:type="paragraph" w:styleId="utrang">
    <w:name w:val="header"/>
    <w:basedOn w:val="Binhthng"/>
    <w:link w:val="utrangChar"/>
    <w:uiPriority w:val="99"/>
    <w:unhideWhenUsed/>
    <w:rsid w:val="00046394"/>
    <w:pPr>
      <w:tabs>
        <w:tab w:val="center" w:pos="4680"/>
        <w:tab w:val="right" w:pos="9360"/>
      </w:tabs>
    </w:pPr>
  </w:style>
  <w:style w:type="character" w:customStyle="1" w:styleId="utrangChar">
    <w:name w:val="Đầu trang Char"/>
    <w:basedOn w:val="Phngmcnhcaonvn"/>
    <w:link w:val="utrang"/>
    <w:uiPriority w:val="99"/>
    <w:rsid w:val="00046394"/>
    <w:rPr>
      <w:rFonts w:ascii="Times New Roman" w:eastAsia="Times New Roman" w:hAnsi="Times New Roman" w:cs="Times New Roman"/>
      <w:sz w:val="24"/>
      <w:szCs w:val="24"/>
    </w:rPr>
  </w:style>
  <w:style w:type="paragraph" w:styleId="Chntrang">
    <w:name w:val="footer"/>
    <w:basedOn w:val="Binhthng"/>
    <w:link w:val="ChntrangChar"/>
    <w:uiPriority w:val="99"/>
    <w:unhideWhenUsed/>
    <w:rsid w:val="00046394"/>
    <w:pPr>
      <w:tabs>
        <w:tab w:val="center" w:pos="4680"/>
        <w:tab w:val="right" w:pos="9360"/>
      </w:tabs>
    </w:pPr>
  </w:style>
  <w:style w:type="character" w:customStyle="1" w:styleId="ChntrangChar">
    <w:name w:val="Chân trang Char"/>
    <w:basedOn w:val="Phngmcnhcaonvn"/>
    <w:link w:val="Chntrang"/>
    <w:uiPriority w:val="99"/>
    <w:rsid w:val="00046394"/>
    <w:rPr>
      <w:rFonts w:ascii="Times New Roman" w:eastAsia="Times New Roman" w:hAnsi="Times New Roman" w:cs="Times New Roman"/>
      <w:sz w:val="24"/>
      <w:szCs w:val="24"/>
    </w:rPr>
  </w:style>
  <w:style w:type="paragraph" w:styleId="Bngchthch">
    <w:name w:val="Balloon Text"/>
    <w:basedOn w:val="Binhthng"/>
    <w:link w:val="BngchthchChar"/>
    <w:uiPriority w:val="99"/>
    <w:semiHidden/>
    <w:unhideWhenUsed/>
    <w:rsid w:val="0002624B"/>
    <w:rPr>
      <w:rFonts w:ascii="Segoe UI" w:hAnsi="Segoe UI" w:cs="Segoe UI"/>
      <w:sz w:val="18"/>
      <w:szCs w:val="18"/>
    </w:rPr>
  </w:style>
  <w:style w:type="character" w:customStyle="1" w:styleId="BngchthchChar">
    <w:name w:val="Bóng chú thích Char"/>
    <w:basedOn w:val="Phngmcnhcaonvn"/>
    <w:link w:val="Bngchthch"/>
    <w:uiPriority w:val="99"/>
    <w:semiHidden/>
    <w:rsid w:val="0002624B"/>
    <w:rPr>
      <w:rFonts w:ascii="Segoe UI" w:eastAsia="Times New Roman" w:hAnsi="Segoe UI" w:cs="Segoe UI"/>
      <w:sz w:val="18"/>
      <w:szCs w:val="18"/>
    </w:rPr>
  </w:style>
  <w:style w:type="paragraph" w:styleId="ThngthngWeb">
    <w:name w:val="Normal (Web)"/>
    <w:basedOn w:val="Binhthng"/>
    <w:uiPriority w:val="99"/>
    <w:unhideWhenUsed/>
    <w:rsid w:val="00BE0F25"/>
    <w:pPr>
      <w:spacing w:before="100" w:beforeAutospacing="1" w:after="100" w:afterAutospacing="1"/>
    </w:pPr>
    <w:rPr>
      <w:lang w:val="vi-VN" w:eastAsia="vi-VN"/>
    </w:rPr>
  </w:style>
  <w:style w:type="paragraph" w:styleId="oncaDanhsch">
    <w:name w:val="List Paragraph"/>
    <w:basedOn w:val="Binhthng"/>
    <w:uiPriority w:val="34"/>
    <w:qFormat/>
    <w:rsid w:val="00C12506"/>
    <w:pPr>
      <w:ind w:left="720"/>
      <w:contextualSpacing/>
    </w:pPr>
  </w:style>
  <w:style w:type="character" w:styleId="Mnh">
    <w:name w:val="Strong"/>
    <w:uiPriority w:val="22"/>
    <w:qFormat/>
    <w:rsid w:val="004F08BE"/>
    <w:rPr>
      <w:b/>
      <w:bCs/>
    </w:rPr>
  </w:style>
  <w:style w:type="paragraph" w:styleId="Thnvnban2">
    <w:name w:val="Body Text 2"/>
    <w:basedOn w:val="Binhthng"/>
    <w:link w:val="Thnvnban2Char"/>
    <w:rsid w:val="008B36B4"/>
    <w:pPr>
      <w:ind w:right="283"/>
      <w:jc w:val="both"/>
    </w:pPr>
    <w:rPr>
      <w:rFonts w:ascii=".VnTime" w:hAnsi=".VnTime"/>
      <w:color w:val="0000FF"/>
      <w:sz w:val="28"/>
      <w:szCs w:val="20"/>
    </w:rPr>
  </w:style>
  <w:style w:type="character" w:customStyle="1" w:styleId="Thnvnban2Char">
    <w:name w:val="Thân vãn bản 2 Char"/>
    <w:basedOn w:val="Phngmcnhcaonvn"/>
    <w:link w:val="Thnvnban2"/>
    <w:rsid w:val="008B36B4"/>
    <w:rPr>
      <w:rFonts w:ascii=".VnTime" w:eastAsia="Times New Roman" w:hAnsi=".VnTime" w:cs="Times New Roman"/>
      <w:color w:val="0000FF"/>
      <w:sz w:val="28"/>
      <w:szCs w:val="20"/>
    </w:rPr>
  </w:style>
  <w:style w:type="character" w:customStyle="1" w:styleId="mc2Char">
    <w:name w:val="Đề mục 2 Char"/>
    <w:basedOn w:val="Phngmcnhcaonvn"/>
    <w:link w:val="mc2"/>
    <w:uiPriority w:val="9"/>
    <w:rsid w:val="009078A1"/>
    <w:rPr>
      <w:rFonts w:ascii="Times New Roman" w:eastAsia="Times New Roman" w:hAnsi="Times New Roman" w:cs="Times New Roman"/>
      <w:b/>
      <w:bCs/>
      <w:sz w:val="36"/>
      <w:szCs w:val="36"/>
    </w:rPr>
  </w:style>
  <w:style w:type="character" w:customStyle="1" w:styleId="mc3Char">
    <w:name w:val="Đề mục 3 Char"/>
    <w:basedOn w:val="Phngmcnhcaonvn"/>
    <w:link w:val="mc3"/>
    <w:uiPriority w:val="9"/>
    <w:rsid w:val="009078A1"/>
    <w:rPr>
      <w:rFonts w:ascii="Times New Roman" w:eastAsia="Times New Roman" w:hAnsi="Times New Roman" w:cs="Times New Roman"/>
      <w:b/>
      <w:bCs/>
      <w:sz w:val="27"/>
      <w:szCs w:val="27"/>
    </w:rPr>
  </w:style>
  <w:style w:type="table" w:styleId="LiBang">
    <w:name w:val="Table Grid"/>
    <w:basedOn w:val="BangThngthng"/>
    <w:uiPriority w:val="59"/>
    <w:rsid w:val="00427E83"/>
    <w:pPr>
      <w:spacing w:after="0" w:line="240" w:lineRule="auto"/>
      <w:ind w:firstLine="720"/>
      <w:jc w:val="center"/>
    </w:pPr>
    <w:rPr>
      <w:rFonts w:ascii="Times New Roman" w:hAnsi="Times New Roman" w:cs="Times New Roman"/>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084860">
      <w:bodyDiv w:val="1"/>
      <w:marLeft w:val="0"/>
      <w:marRight w:val="0"/>
      <w:marTop w:val="0"/>
      <w:marBottom w:val="0"/>
      <w:divBdr>
        <w:top w:val="none" w:sz="0" w:space="0" w:color="auto"/>
        <w:left w:val="none" w:sz="0" w:space="0" w:color="auto"/>
        <w:bottom w:val="none" w:sz="0" w:space="0" w:color="auto"/>
        <w:right w:val="none" w:sz="0" w:space="0" w:color="auto"/>
      </w:divBdr>
    </w:div>
    <w:div w:id="1074669170">
      <w:bodyDiv w:val="1"/>
      <w:marLeft w:val="0"/>
      <w:marRight w:val="0"/>
      <w:marTop w:val="0"/>
      <w:marBottom w:val="0"/>
      <w:divBdr>
        <w:top w:val="none" w:sz="0" w:space="0" w:color="auto"/>
        <w:left w:val="none" w:sz="0" w:space="0" w:color="auto"/>
        <w:bottom w:val="none" w:sz="0" w:space="0" w:color="auto"/>
        <w:right w:val="none" w:sz="0" w:space="0" w:color="auto"/>
      </w:divBdr>
    </w:div>
    <w:div w:id="1090926236">
      <w:bodyDiv w:val="1"/>
      <w:marLeft w:val="0"/>
      <w:marRight w:val="0"/>
      <w:marTop w:val="0"/>
      <w:marBottom w:val="0"/>
      <w:divBdr>
        <w:top w:val="none" w:sz="0" w:space="0" w:color="auto"/>
        <w:left w:val="none" w:sz="0" w:space="0" w:color="auto"/>
        <w:bottom w:val="none" w:sz="0" w:space="0" w:color="auto"/>
        <w:right w:val="none" w:sz="0" w:space="0" w:color="auto"/>
      </w:divBdr>
    </w:div>
    <w:div w:id="1796369777">
      <w:bodyDiv w:val="1"/>
      <w:marLeft w:val="0"/>
      <w:marRight w:val="0"/>
      <w:marTop w:val="0"/>
      <w:marBottom w:val="0"/>
      <w:divBdr>
        <w:top w:val="none" w:sz="0" w:space="0" w:color="auto"/>
        <w:left w:val="none" w:sz="0" w:space="0" w:color="auto"/>
        <w:bottom w:val="none" w:sz="0" w:space="0" w:color="auto"/>
        <w:right w:val="none" w:sz="0" w:space="0" w:color="auto"/>
      </w:divBdr>
    </w:div>
    <w:div w:id="191339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C2342-C4B2-47E6-95C0-F086118A4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2239</Words>
  <Characters>12768</Characters>
  <Application>Microsoft Office Word</Application>
  <DocSecurity>0</DocSecurity>
  <Lines>106</Lines>
  <Paragraphs>29</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4</cp:revision>
  <cp:lastPrinted>2026-06-03T13:06:00Z</cp:lastPrinted>
  <dcterms:created xsi:type="dcterms:W3CDTF">2026-06-03T13:01:00Z</dcterms:created>
  <dcterms:modified xsi:type="dcterms:W3CDTF">2026-06-03T13:22:00Z</dcterms:modified>
</cp:coreProperties>
</file>